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default" w:ascii="黑体" w:hAnsi="黑体" w:eastAsia="黑体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bCs/>
          <w:color w:val="auto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吉首大学第十四届“挑战杯”大学生课外学术科技作品竞赛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评分表</w:t>
      </w:r>
    </w:p>
    <w:tbl>
      <w:tblPr>
        <w:tblStyle w:val="2"/>
        <w:tblW w:w="5005" w:type="pct"/>
        <w:jc w:val="center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4581"/>
        <w:gridCol w:w="4542"/>
        <w:gridCol w:w="173"/>
        <w:gridCol w:w="1068"/>
        <w:gridCol w:w="166"/>
        <w:gridCol w:w="1212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163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学生总数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参赛学生人数</w:t>
            </w:r>
          </w:p>
        </w:tc>
        <w:tc>
          <w:tcPr>
            <w:tcW w:w="163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指导教师人数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参赛项目总数</w:t>
            </w:r>
          </w:p>
        </w:tc>
        <w:tc>
          <w:tcPr>
            <w:tcW w:w="1638" w:type="pc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在职专任教师总数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一级指标</w:t>
            </w:r>
          </w:p>
        </w:tc>
        <w:tc>
          <w:tcPr>
            <w:tcW w:w="1638" w:type="pc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二级指标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评分标准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自评分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政策支持</w:t>
            </w:r>
          </w:p>
          <w:p>
            <w:pPr>
              <w:pStyle w:val="4"/>
              <w:spacing w:before="42" w:line="201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line="242" w:lineRule="auto"/>
              <w:ind w:left="190" w:right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校赛相关工作实施意见、通知等文件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128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128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vMerge w:val="restart"/>
            <w:tcBorders>
              <w:top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148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128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127" w:line="237" w:lineRule="auto"/>
              <w:ind w:left="190" w:right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是否制定政策激励师生参与课外学术科技作品竞赛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84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84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8" w:type="pct"/>
            <w:gridSpan w:val="3"/>
            <w:noWrap w:val="0"/>
            <w:vAlign w:val="center"/>
          </w:tcPr>
          <w:p>
            <w:pPr>
              <w:pStyle w:val="4"/>
              <w:spacing w:before="67"/>
              <w:ind w:left="506" w:leftChars="0" w:hanging="506" w:hangingChars="21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（具体政策名称及主要内容）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29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29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>
            <w:pPr>
              <w:pStyle w:val="4"/>
              <w:spacing w:line="232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宣传展示</w:t>
            </w:r>
          </w:p>
          <w:p>
            <w:pPr>
              <w:pStyle w:val="4"/>
              <w:spacing w:line="232" w:lineRule="auto"/>
              <w:ind w:left="184" w:right="23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85" w:line="232" w:lineRule="auto"/>
              <w:ind w:left="190" w:right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是否通过学院媒体宣传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36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16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39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19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59"/>
              <w:ind w:left="190" w:right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是否组织学院宣讲会或学术经验交流会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99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79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01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112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92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赛事参与程度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35分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206"/>
              <w:ind w:left="190" w:right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参赛学生人数占学院学生总数比例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77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10%（含）以上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77"/>
              <w:ind w:left="51"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490" w:type="pct"/>
            <w:gridSpan w:val="2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60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%（含）以上,10%（不含）以下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60"/>
              <w:ind w:left="51"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71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%（含）以上,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%（不含）以下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71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41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21"/>
              <w:ind w:lef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102" w:line="284" w:lineRule="exact"/>
              <w:ind w:left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指导教师人数占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学院在职专任教师总数比例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2"/>
              <w:ind w:left="18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%（含）以上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2"/>
              <w:ind w:left="51" w:right="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42" w:line="201" w:lineRule="auto"/>
              <w:ind w:left="184" w:leftChars="0" w:right="237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21" w:line="232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%（含）以上,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%（不含）以下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24" w:lineRule="exact"/>
              <w:ind w:left="184" w:leftChars="0" w:hanging="184" w:hangingChars="77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24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102" w:line="284" w:lineRule="exact"/>
              <w:ind w:left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36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16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before="16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line="324" w:lineRule="exact"/>
              <w:ind w:left="19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项目总数与学院学生总数比例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2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%（含）以上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2"/>
              <w:ind w:left="51" w:leftChars="0" w:right="44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before="18"/>
              <w:ind w:left="51" w:leftChars="0" w:right="44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102" w:line="284" w:lineRule="exact"/>
              <w:ind w:left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21" w:line="232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%（含）以上,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%（不含）以下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24" w:lineRule="exact"/>
              <w:ind w:left="184" w:leftChars="0" w:hanging="184" w:hangingChars="77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before="179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102" w:line="284" w:lineRule="exact"/>
              <w:ind w:left="19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before="36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%以下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before="16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before="40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初审实施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48" w:line="232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制定学院《评审细则》并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有规范化评审程序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31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31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31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2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15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15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15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27" w:line="247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是否有规范化评审记录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19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19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19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2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22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22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22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43" w:line="232" w:lineRule="auto"/>
              <w:ind w:left="190" w:leftChars="0" w:right="30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是否设置“学术诚信审查”环节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26" w:lineRule="exact"/>
              <w:ind w:left="187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26" w:lineRule="exact"/>
              <w:ind w:left="7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26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43" w:line="232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26" w:lineRule="exact"/>
              <w:ind w:left="187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26" w:lineRule="exact"/>
              <w:ind w:left="7"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26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43" w:line="232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是否有初审结果公示环节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26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26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26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pStyle w:val="4"/>
              <w:spacing w:before="2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30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30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30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restart"/>
            <w:noWrap w:val="0"/>
            <w:vAlign w:val="center"/>
          </w:tcPr>
          <w:p>
            <w:pPr>
              <w:pStyle w:val="4"/>
              <w:spacing w:before="22" w:line="247" w:lineRule="auto"/>
              <w:ind w:left="190" w:leftChars="0" w:right="30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是否有监督投诉机制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14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14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14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0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4" w:type="pct"/>
            <w:noWrap w:val="0"/>
            <w:vAlign w:val="center"/>
          </w:tcPr>
          <w:p>
            <w:pPr>
              <w:pStyle w:val="4"/>
              <w:spacing w:line="317" w:lineRule="exact"/>
              <w:ind w:left="18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444" w:type="pct"/>
            <w:gridSpan w:val="2"/>
            <w:noWrap w:val="0"/>
            <w:vAlign w:val="center"/>
          </w:tcPr>
          <w:p>
            <w:pPr>
              <w:pStyle w:val="4"/>
              <w:spacing w:line="317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90" w:type="pct"/>
            <w:gridSpan w:val="2"/>
            <w:noWrap w:val="0"/>
            <w:vAlign w:val="center"/>
          </w:tcPr>
          <w:p>
            <w:pPr>
              <w:pStyle w:val="4"/>
              <w:spacing w:line="317" w:lineRule="exact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自评总分</w:t>
            </w:r>
          </w:p>
        </w:tc>
        <w:tc>
          <w:tcPr>
            <w:tcW w:w="4198" w:type="pct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学院作品奖次得分</w:t>
            </w:r>
          </w:p>
        </w:tc>
        <w:tc>
          <w:tcPr>
            <w:tcW w:w="4198" w:type="pct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98" w:type="pct"/>
            <w:gridSpan w:val="6"/>
            <w:noWrap w:val="0"/>
            <w:vAlign w:val="center"/>
          </w:tcPr>
          <w:p>
            <w:pPr>
              <w:pStyle w:val="4"/>
              <w:spacing w:line="347" w:lineRule="exact"/>
              <w:ind w:left="19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本单位承诺以上自评分情况属实。</w:t>
            </w:r>
          </w:p>
          <w:p>
            <w:pPr>
              <w:pStyle w:val="4"/>
              <w:spacing w:before="7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4"/>
              <w:ind w:firstLine="7440" w:firstLineChars="3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填报人：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（本单位团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公章）</w:t>
            </w:r>
          </w:p>
          <w:p>
            <w:pPr>
              <w:pStyle w:val="4"/>
              <w:ind w:left="0" w:leftChars="0" w:firstLine="8198" w:firstLineChars="341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校竞赛组委会意见</w:t>
            </w:r>
          </w:p>
        </w:tc>
        <w:tc>
          <w:tcPr>
            <w:tcW w:w="4198" w:type="pct"/>
            <w:gridSpan w:val="6"/>
            <w:noWrap w:val="0"/>
            <w:vAlign w:val="center"/>
          </w:tcPr>
          <w:p>
            <w:pPr>
              <w:pStyle w:val="4"/>
              <w:spacing w:afterLines="51" w:line="359" w:lineRule="exact"/>
              <w:ind w:left="190"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经审核，确认该单位评分情况属实。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4"/>
              <w:ind w:left="3570" w:leftChars="1700" w:firstLine="5049" w:firstLineChars="2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pStyle w:val="4"/>
              <w:ind w:left="3570" w:leftChars="1700" w:firstLine="5049" w:firstLineChars="210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80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校级评分意见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3324" w:type="pct"/>
            <w:gridSpan w:val="3"/>
            <w:noWrap w:val="0"/>
            <w:vAlign w:val="center"/>
          </w:tcPr>
          <w:p>
            <w:pPr>
              <w:pStyle w:val="4"/>
              <w:spacing w:afterLines="26"/>
              <w:ind w:left="190" w:right="616"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综合该学院对吉首大学第十四届“挑战杯”大学生课外学术科技作品竞赛组织情况，为该单位评分为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分。</w:t>
            </w:r>
          </w:p>
          <w:p>
            <w:pPr>
              <w:pStyle w:val="4"/>
              <w:wordWrap w:val="0"/>
              <w:ind w:right="70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（共青团吉首大学委员会公章） </w:t>
            </w:r>
          </w:p>
          <w:p>
            <w:pPr>
              <w:pStyle w:val="4"/>
              <w:wordWrap w:val="0"/>
              <w:ind w:right="7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年   月   日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</w:t>
            </w:r>
          </w:p>
        </w:tc>
        <w:tc>
          <w:tcPr>
            <w:tcW w:w="441" w:type="pct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最终得分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055EA"/>
    <w:rsid w:val="0EB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2021-01-20T09:13:00Z</dcterms:created>
  <dc:creator>张宝娣</dc:creator>
  <cp:lastModifiedBy>张宝娣</cp:lastModifiedBy>
  <dcterms:modified xsi:type="dcterms:W3CDTF">2021-01-20T09:13:48Z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