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405" w:tblpY="1458"/>
        <w:tblOverlap w:val="never"/>
        <w:tblW w:w="9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2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6"/>
                <w:szCs w:val="76"/>
                <w:lang w:eastAsia="zh-CN"/>
              </w:rPr>
              <w:t>共青团吉首大学委员会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2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default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2"/>
                <w:kern w:val="21"/>
                <w:sz w:val="76"/>
                <w:szCs w:val="76"/>
                <w:lang w:val="en-US" w:eastAsia="zh-CN"/>
              </w:rPr>
              <w:t>吉首大学图书馆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8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00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351790</wp:posOffset>
                </wp:positionV>
                <wp:extent cx="457200" cy="4108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25pt;margin-top:27.7pt;height:32.35pt;width:36pt;z-index:251661312;mso-width-relative:page;mso-height-relative:page;" filled="f" stroked="f" coordsize="21600,21600" o:gfxdata="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g+Ig4tYAAAAKAQAADwAAAAAAAAABACAAAAAiAAAAZHJzL2Rv&#10;d25yZXYueG1sUEsBAhQAFAAAAAgAh07iQKdxHfSRAQAADQMAAA4AAAAAAAAAAQAgAAAAJQ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eastAsia="仿宋_GB2312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校团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联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〔202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52070</wp:posOffset>
                </wp:positionV>
                <wp:extent cx="2374900" cy="0"/>
                <wp:effectExtent l="0" t="13970" r="635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7.25pt;margin-top:4.1pt;height:0pt;width:187pt;z-index:251660288;mso-width-relative:page;mso-height-relative:page;" filled="f" stroked="t" coordsize="21600,21600" o:gfxdata="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mp7&#10;99cAAAAHAQAADwAAAAAAAAABACAAAAAiAAAAZHJzL2Rvd25yZXYueG1sUEsBAhQAFAAAAAgAh07i&#10;QF1gj5LqAQAArwMAAA4AAAAAAAAAAQAgAAAAJgEAAGRycy9lMm9Eb2MueG1sUEsFBgAAAAAGAAYA&#10;WQEAAII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55880</wp:posOffset>
                </wp:positionV>
                <wp:extent cx="2440940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94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4.4pt;height:0.75pt;width:192.2pt;z-index:251659264;mso-width-relative:page;mso-height-relative:page;" filled="f" stroked="t" coordsize="21600,21600" o:gfxdata="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F8E9nUAAAABgEAAA8A&#10;AAAAAAAAAQAgAAAAIgAAAGRycy9kb3ducmV2LnhtbFBLAQIUABQAAAAIAIdO4kDsTynU4gEAAKgD&#10;AAAOAAAAAAAAAAEAIAAAACM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9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0"/>
          <w:kern w:val="2"/>
          <w:sz w:val="44"/>
          <w:szCs w:val="44"/>
          <w:lang w:val="en-US" w:bidi="ar-SA"/>
        </w:rPr>
        <w:t>关于开展吉首大学读红色经典·讲红色故事·守红色初心——学“习”评阅大赛的通知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bidi="ar-SA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各学院：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深入学习宣传贯彻党的二十大精神，把全团思想和行动统一到党的二十大精神上来，把智慧和力量凝聚到完成党的二十大确定的各项任务上来，更好团结引领广大青年紧跟党奋进新征程、夺取新胜利，经研究决定，举办吉首大学读红色经典·讲红色故事·守红色初心——学“习”评阅大赛，现将相关事项通知如下：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</w:t>
      </w: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主题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读红色经典·讲红色故事·守红色初心</w:t>
      </w:r>
    </w:p>
    <w:p>
      <w:pPr>
        <w:numPr>
          <w:ilvl w:val="0"/>
          <w:numId w:val="0"/>
        </w:numPr>
        <w:autoSpaceDE/>
        <w:autoSpaceDN/>
        <w:adjustRightInd w:val="0"/>
        <w:snapToGrid w:val="0"/>
        <w:spacing w:line="560" w:lineRule="exact"/>
        <w:ind w:firstLine="640" w:firstLineChars="200"/>
        <w:jc w:val="both"/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组织单位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主办单位：共青团吉首大学委员会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吉首大学图书馆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承办单位：吉首大学文学与新闻传播学院关心下一代工作委员会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文学与新闻传播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学院委员会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三、参赛对象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吉首大学（吉首校区）全日制在籍学生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四、参赛名额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院可推荐2名参赛选手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五、比赛形式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分为选拔赛与展示两个阶段，具体组织形式如下：</w:t>
      </w:r>
    </w:p>
    <w:p>
      <w:pPr>
        <w:pStyle w:val="2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选拔赛</w:t>
      </w:r>
    </w:p>
    <w:p>
      <w:pPr>
        <w:adjustRightInd w:val="0"/>
        <w:snapToGrid w:val="0"/>
        <w:spacing w:line="560" w:lineRule="exact"/>
        <w:ind w:left="64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采取线上形式进行，参赛选手须在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11月21日上午12：00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前提交作品。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参赛内容：以“朗读+</w:t>
      </w:r>
      <w:r>
        <w:rPr>
          <w:rFonts w:hint="eastAsia" w:ascii="仿宋" w:hAnsi="仿宋" w:eastAsia="仿宋" w:cs="仿宋"/>
          <w:sz w:val="32"/>
          <w:szCs w:val="32"/>
        </w:rPr>
        <w:t>解读”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推荐红色经典书目的形式，内容积极、健康、向上，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包含习近平总书记经典语录。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提交作品形式：每个参赛选手自行录制视频，</w:t>
      </w:r>
      <w:r>
        <w:rPr>
          <w:rFonts w:hint="eastAsia" w:ascii="仿宋" w:hAnsi="仿宋" w:eastAsia="仿宋" w:cs="仿宋"/>
          <w:sz w:val="32"/>
          <w:szCs w:val="32"/>
        </w:rPr>
        <w:t>时间限制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分钟以内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作品格式要求：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格式为MP4格式；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分辨率为1280*720(16:9)；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视频文件大小不超过150M。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评审方式：网络评审，竞赛秘书处根据视频进行评审，确定10位选手进入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展示环节。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（二）展示环节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由承办单位负责10位选手的视频录制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，并在校内宣传平台展示。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（三）决赛环节</w:t>
      </w:r>
    </w:p>
    <w:p>
      <w:pPr>
        <w:pStyle w:val="2"/>
        <w:ind w:left="0" w:leftChars="0" w:firstLine="643" w:firstLineChars="200"/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</w:pP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六、赛事安排</w:t>
      </w:r>
    </w:p>
    <w:p>
      <w:pPr>
        <w:adjustRightInd w:val="0"/>
        <w:snapToGrid w:val="0"/>
        <w:spacing w:line="560" w:lineRule="exact"/>
        <w:ind w:left="-220" w:leftChars="-100" w:right="-273" w:rightChars="-124" w:firstLine="640" w:firstLineChars="200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各学院在2021年11月21日上午12：00前将参赛选手大赛报名表（见附件1）、大赛汇总表（见附件2）、比赛视频电子档以学院命名发送至邮箱：</w:t>
      </w:r>
      <w:r>
        <w:fldChar w:fldCharType="begin"/>
      </w:r>
      <w:r>
        <w:instrText xml:space="preserve"> HYPERLINK "mailto:2512106612@qq.com。"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/>
        </w:rPr>
        <w:t>jidawenxueyuan1958@163.com</w:t>
      </w:r>
      <w:r>
        <w:rPr>
          <w:rFonts w:hint="eastAsia" w:ascii="仿宋" w:hAnsi="仿宋" w:eastAsia="仿宋" w:cs="仿宋"/>
          <w:sz w:val="32"/>
          <w:szCs w:val="32"/>
          <w:lang w:val="en-US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联系人：刘建新18874363903。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七、奖项设置</w:t>
      </w:r>
    </w:p>
    <w:p>
      <w:pPr>
        <w:adjustRightInd w:val="0"/>
        <w:snapToGrid w:val="0"/>
        <w:spacing w:before="6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一等奖：1名</w:t>
      </w:r>
    </w:p>
    <w:p>
      <w:pPr>
        <w:adjustRightInd w:val="0"/>
        <w:snapToGrid w:val="0"/>
        <w:spacing w:before="6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二等奖：3名</w:t>
      </w:r>
    </w:p>
    <w:p>
      <w:pPr>
        <w:adjustRightInd w:val="0"/>
        <w:snapToGrid w:val="0"/>
        <w:spacing w:before="6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三等奖：6名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before="6" w:line="560" w:lineRule="exact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hanging="960" w:hangingChars="3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1.吉首大学读红色经典·讲红色故事·品红色初心—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“习”评阅大赛报名表</w:t>
      </w:r>
    </w:p>
    <w:p>
      <w:pPr>
        <w:adjustRightInd w:val="0"/>
        <w:snapToGrid w:val="0"/>
        <w:spacing w:line="560" w:lineRule="exact"/>
        <w:ind w:left="958" w:leftChars="29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2.吉首大学读红色经典·讲红色故事·品红色初心—学“习”评阅大赛作品信息汇总表</w:t>
      </w:r>
    </w:p>
    <w:p>
      <w:pPr>
        <w:adjustRightInd w:val="0"/>
        <w:snapToGrid w:val="0"/>
        <w:spacing w:line="560" w:lineRule="exact"/>
        <w:ind w:left="958" w:leftChars="29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吉首大学读红色经典·讲红色故事·品红色初心—学“习”评阅大赛评分标准</w:t>
      </w:r>
    </w:p>
    <w:p>
      <w:pPr>
        <w:adjustRightInd w:val="0"/>
        <w:snapToGrid w:val="0"/>
        <w:spacing w:line="560" w:lineRule="exact"/>
        <w:ind w:left="1767" w:leftChars="803" w:firstLine="800" w:firstLineChars="250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共青团吉首大学委员会</w:t>
      </w: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吉首大学图书馆</w:t>
      </w: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 xml:space="preserve"> 2022年11月9日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br w:type="page"/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仿宋_GB2312" w:hAnsi="仿宋_GB2312" w:cs="仿宋_GB2312"/>
          <w:bCs/>
          <w:sz w:val="24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</w:rPr>
        <w:t>吉首大学读红色经典·讲红色故事·品红色初心——学“习”评阅大赛报名表</w:t>
      </w:r>
    </w:p>
    <w:p>
      <w:pPr>
        <w:spacing w:line="600" w:lineRule="exac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报送单位（盖章）：</w:t>
      </w:r>
    </w:p>
    <w:tbl>
      <w:tblPr>
        <w:tblStyle w:val="10"/>
        <w:tblW w:w="9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711"/>
        <w:gridCol w:w="695"/>
        <w:gridCol w:w="1470"/>
        <w:gridCol w:w="679"/>
        <w:gridCol w:w="570"/>
        <w:gridCol w:w="994"/>
        <w:gridCol w:w="429"/>
        <w:gridCol w:w="1280"/>
        <w:gridCol w:w="1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971" w:type="dxa"/>
          </w:tcPr>
          <w:p>
            <w:pPr>
              <w:pStyle w:val="17"/>
              <w:spacing w:before="133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406" w:type="dxa"/>
            <w:gridSpan w:val="2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pStyle w:val="17"/>
              <w:spacing w:before="133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249" w:type="dxa"/>
            <w:gridSpan w:val="2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  <w:gridSpan w:val="2"/>
          </w:tcPr>
          <w:p>
            <w:pPr>
              <w:pStyle w:val="17"/>
              <w:spacing w:before="133"/>
              <w:ind w:left="15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280" w:type="dxa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（</w:t>
            </w:r>
            <w:r>
              <w:rPr>
                <w:rFonts w:hint="eastAsia" w:ascii="Times New Roman"/>
                <w:sz w:val="28"/>
                <w:lang w:val="en-US"/>
              </w:rPr>
              <w:t>照片</w:t>
            </w:r>
            <w:r>
              <w:rPr>
                <w:rFonts w:ascii="Times New Roman"/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971" w:type="dxa"/>
          </w:tcPr>
          <w:p>
            <w:pPr>
              <w:pStyle w:val="17"/>
              <w:spacing w:before="133"/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406" w:type="dxa"/>
            <w:gridSpan w:val="2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719" w:type="dxa"/>
            <w:gridSpan w:val="3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703" w:type="dxa"/>
            <w:gridSpan w:val="3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  <w:tc>
          <w:tcPr>
            <w:tcW w:w="1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377" w:type="dxa"/>
            <w:gridSpan w:val="3"/>
          </w:tcPr>
          <w:p>
            <w:pPr>
              <w:pStyle w:val="17"/>
              <w:spacing w:before="132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学院、</w:t>
            </w:r>
            <w:r>
              <w:rPr>
                <w:sz w:val="28"/>
              </w:rPr>
              <w:t>专业、年级</w:t>
            </w:r>
          </w:p>
        </w:tc>
        <w:tc>
          <w:tcPr>
            <w:tcW w:w="5422" w:type="dxa"/>
            <w:gridSpan w:val="6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2377" w:type="dxa"/>
            <w:gridSpan w:val="3"/>
          </w:tcPr>
          <w:p>
            <w:pPr>
              <w:pStyle w:val="17"/>
              <w:spacing w:before="132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参赛书籍</w:t>
            </w:r>
          </w:p>
        </w:tc>
        <w:tc>
          <w:tcPr>
            <w:tcW w:w="7329" w:type="dxa"/>
            <w:gridSpan w:val="7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682" w:type="dxa"/>
            <w:gridSpan w:val="2"/>
          </w:tcPr>
          <w:p>
            <w:pPr>
              <w:pStyle w:val="17"/>
              <w:spacing w:before="134"/>
              <w:ind w:left="386"/>
              <w:jc w:val="center"/>
              <w:rPr>
                <w:sz w:val="28"/>
              </w:rPr>
            </w:pPr>
            <w:r>
              <w:rPr>
                <w:sz w:val="28"/>
              </w:rPr>
              <w:t>QQ 号码</w:t>
            </w:r>
          </w:p>
        </w:tc>
        <w:tc>
          <w:tcPr>
            <w:tcW w:w="2844" w:type="dxa"/>
            <w:gridSpan w:val="3"/>
          </w:tcPr>
          <w:p>
            <w:pPr>
              <w:pStyle w:val="17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64" w:type="dxa"/>
            <w:gridSpan w:val="2"/>
          </w:tcPr>
          <w:p>
            <w:pPr>
              <w:pStyle w:val="17"/>
              <w:spacing w:before="134"/>
              <w:ind w:left="221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3616" w:type="dxa"/>
            <w:gridSpan w:val="3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4" w:hRule="atLeast"/>
          <w:jc w:val="center"/>
        </w:trPr>
        <w:tc>
          <w:tcPr>
            <w:tcW w:w="1682" w:type="dxa"/>
            <w:gridSpan w:val="2"/>
            <w:textDirection w:val="tbRlV"/>
            <w:vAlign w:val="center"/>
          </w:tcPr>
          <w:p>
            <w:pPr>
              <w:pStyle w:val="17"/>
              <w:spacing w:before="133" w:line="417" w:lineRule="auto"/>
              <w:ind w:left="700" w:right="68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参赛作品介绍（书评）</w:t>
            </w:r>
          </w:p>
        </w:tc>
        <w:tc>
          <w:tcPr>
            <w:tcW w:w="8024" w:type="dxa"/>
            <w:gridSpan w:val="8"/>
          </w:tcPr>
          <w:p>
            <w:pPr>
              <w:pStyle w:val="17"/>
              <w:rPr>
                <w:rFonts w:ascii="Times New Roman"/>
                <w:sz w:val="28"/>
              </w:rPr>
            </w:pPr>
          </w:p>
        </w:tc>
      </w:tr>
    </w:tbl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120" w:lineRule="auto"/>
        <w:jc w:val="righ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sz w:val="28"/>
          <w:szCs w:val="28"/>
        </w:rPr>
        <w:t>报送日期：   年   月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附件2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吉首大学读红色经典·讲红色故事·品红色初心——学“习”评阅大赛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0" w:afterLines="100" w:line="60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作品信息汇总表</w:t>
      </w:r>
    </w:p>
    <w:p>
      <w:pPr>
        <w:snapToGrid w:val="0"/>
        <w:rPr>
          <w:sz w:val="24"/>
        </w:rPr>
      </w:pPr>
    </w:p>
    <w:p>
      <w:pPr>
        <w:snapToGrid w:val="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学院（盖章）：</w:t>
      </w:r>
      <w:r>
        <w:rPr>
          <w:rFonts w:hint="eastAsia"/>
          <w:sz w:val="24"/>
          <w:u w:val="single"/>
        </w:rPr>
        <w:t xml:space="preserve">　　　             </w:t>
      </w:r>
      <w:r>
        <w:rPr>
          <w:rFonts w:hint="eastAsia"/>
          <w:sz w:val="24"/>
        </w:rPr>
        <w:t xml:space="preserve">             填表人：</w:t>
      </w:r>
      <w:r>
        <w:rPr>
          <w:rFonts w:hint="eastAsia"/>
          <w:sz w:val="24"/>
          <w:u w:val="single"/>
        </w:rPr>
        <w:t xml:space="preserve"> 　　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</w:p>
    <w:p>
      <w:pPr>
        <w:snapToGrid w:val="0"/>
        <w:rPr>
          <w:sz w:val="24"/>
          <w:u w:val="single"/>
        </w:rPr>
      </w:pPr>
    </w:p>
    <w:tbl>
      <w:tblPr>
        <w:tblStyle w:val="10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684"/>
        <w:gridCol w:w="2223"/>
        <w:gridCol w:w="232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21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684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作品名称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作者姓名 </w:t>
            </w:r>
          </w:p>
        </w:tc>
        <w:tc>
          <w:tcPr>
            <w:tcW w:w="232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作者班级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2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Style w:val="12"/>
          <w:color w:val="auto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方正小标宋简体" w:hAnsi="黑体" w:eastAsia="方正小标宋简体" w:cs="黑体"/>
          <w:bCs/>
          <w:sz w:val="40"/>
          <w:szCs w:val="40"/>
        </w:rPr>
      </w:pPr>
      <w:r>
        <w:rPr>
          <w:rFonts w:hint="eastAsia" w:ascii="方正小标宋简体" w:hAnsi="黑体" w:eastAsia="方正小标宋简体" w:cs="黑体"/>
          <w:bCs/>
          <w:sz w:val="40"/>
          <w:szCs w:val="40"/>
          <w:lang w:val="en-US"/>
        </w:rPr>
        <w:t>吉首大学读红色经典·讲红色故事·品红色初心——学“习”评阅大赛评分标准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.采用十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分制。选手比赛成绩满分为10分。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分值构成。本次比赛从4个方面考察选手水平: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（1）演讲内容：紧扣主题、观点鲜明、内容充实(3分)；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（2）演讲技巧：内容熟悉、表达流畅、情绪饱满、普通话标准(3分)；</w:t>
      </w:r>
    </w:p>
    <w:p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（3）演讲效果:有很好的鼓舞性和激励作用，有很强的说服力和感召力(2分)；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（4）形象风度：仪态大方、表情自然、动作得体(2分)；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现场亮分。评委对参赛选手现场评分，主持人现场宣布选手得分。计分时去掉最高分和最低分，取平均分为选手最后得分(保留到小数点后两位)。</w:t>
      </w:r>
    </w:p>
    <w:p>
      <w:pPr>
        <w:adjustRightInd w:val="0"/>
        <w:snapToGrid w:val="0"/>
        <w:spacing w:before="6" w:line="560" w:lineRule="exact"/>
        <w:rPr>
          <w:rFonts w:ascii="仿宋" w:hAnsi="仿宋" w:eastAsia="仿宋" w:cs="仿宋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P8wR7RAAAAAgEAAA8AAAAA&#10;AAAAAQAgAAAAIgAAAGRycy9kb3ducmV2LnhtbFBLAQIUABQAAAAIAIdO4kDoKUddGwIAABIEAAAO&#10;AAAAAAAAAAEAIAAAACA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A0EFC"/>
    <w:multiLevelType w:val="multilevel"/>
    <w:tmpl w:val="6F1A0EFC"/>
    <w:lvl w:ilvl="0" w:tentative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YTJkMGEyOGU2Y2JhODdjNThmNzU1YjhjN2E2OTcifQ=="/>
  </w:docVars>
  <w:rsids>
    <w:rsidRoot w:val="00860B80"/>
    <w:rsid w:val="0013055E"/>
    <w:rsid w:val="001B572F"/>
    <w:rsid w:val="00213553"/>
    <w:rsid w:val="0027718B"/>
    <w:rsid w:val="00277944"/>
    <w:rsid w:val="002D46CE"/>
    <w:rsid w:val="003C0DE5"/>
    <w:rsid w:val="003D7DD7"/>
    <w:rsid w:val="003E1166"/>
    <w:rsid w:val="00474085"/>
    <w:rsid w:val="00487514"/>
    <w:rsid w:val="00490311"/>
    <w:rsid w:val="005644A0"/>
    <w:rsid w:val="005E05EF"/>
    <w:rsid w:val="005F5F0A"/>
    <w:rsid w:val="0060464B"/>
    <w:rsid w:val="006520C6"/>
    <w:rsid w:val="006D6578"/>
    <w:rsid w:val="006E04CB"/>
    <w:rsid w:val="006E224B"/>
    <w:rsid w:val="007000F5"/>
    <w:rsid w:val="00722F21"/>
    <w:rsid w:val="007B6737"/>
    <w:rsid w:val="00860B80"/>
    <w:rsid w:val="008F1124"/>
    <w:rsid w:val="00905D59"/>
    <w:rsid w:val="0093764E"/>
    <w:rsid w:val="00940A70"/>
    <w:rsid w:val="00941C57"/>
    <w:rsid w:val="0094566F"/>
    <w:rsid w:val="00970548"/>
    <w:rsid w:val="009746BA"/>
    <w:rsid w:val="009A0802"/>
    <w:rsid w:val="009F1440"/>
    <w:rsid w:val="009F3580"/>
    <w:rsid w:val="009F5491"/>
    <w:rsid w:val="00A20B72"/>
    <w:rsid w:val="00A43EAB"/>
    <w:rsid w:val="00A462E9"/>
    <w:rsid w:val="00B434F1"/>
    <w:rsid w:val="00B94670"/>
    <w:rsid w:val="00BD4C34"/>
    <w:rsid w:val="00BE6994"/>
    <w:rsid w:val="00C164F3"/>
    <w:rsid w:val="00CD3BE5"/>
    <w:rsid w:val="00D05D1D"/>
    <w:rsid w:val="00D27AD5"/>
    <w:rsid w:val="00EF0F43"/>
    <w:rsid w:val="00F851F6"/>
    <w:rsid w:val="00FF3352"/>
    <w:rsid w:val="02730039"/>
    <w:rsid w:val="02E52772"/>
    <w:rsid w:val="03716F9A"/>
    <w:rsid w:val="04EC28E9"/>
    <w:rsid w:val="06004733"/>
    <w:rsid w:val="09287033"/>
    <w:rsid w:val="093A4343"/>
    <w:rsid w:val="0A4D5C81"/>
    <w:rsid w:val="0C3A5DF0"/>
    <w:rsid w:val="0F44647A"/>
    <w:rsid w:val="0F9C08C7"/>
    <w:rsid w:val="15E86574"/>
    <w:rsid w:val="18BD4438"/>
    <w:rsid w:val="19664AB6"/>
    <w:rsid w:val="1B622BA0"/>
    <w:rsid w:val="1B67156D"/>
    <w:rsid w:val="1CA70C65"/>
    <w:rsid w:val="1CFF4C66"/>
    <w:rsid w:val="1EDC7B6A"/>
    <w:rsid w:val="1F260FDD"/>
    <w:rsid w:val="21102BA5"/>
    <w:rsid w:val="23D92496"/>
    <w:rsid w:val="24FD71D6"/>
    <w:rsid w:val="25803731"/>
    <w:rsid w:val="26062629"/>
    <w:rsid w:val="276B31B1"/>
    <w:rsid w:val="296B3BE3"/>
    <w:rsid w:val="2C7F0C0E"/>
    <w:rsid w:val="2D3B2996"/>
    <w:rsid w:val="2DE92265"/>
    <w:rsid w:val="2E4F2EF8"/>
    <w:rsid w:val="2F2E7C8F"/>
    <w:rsid w:val="2FBF0E45"/>
    <w:rsid w:val="33B62ACA"/>
    <w:rsid w:val="39EB650A"/>
    <w:rsid w:val="3C6B5410"/>
    <w:rsid w:val="3EA94860"/>
    <w:rsid w:val="3F0D1B7D"/>
    <w:rsid w:val="3FDF1FC9"/>
    <w:rsid w:val="41FC2807"/>
    <w:rsid w:val="423755F8"/>
    <w:rsid w:val="42EC17AB"/>
    <w:rsid w:val="444C2657"/>
    <w:rsid w:val="485F1E09"/>
    <w:rsid w:val="48DE2BB3"/>
    <w:rsid w:val="48F23C05"/>
    <w:rsid w:val="4A984373"/>
    <w:rsid w:val="4AB3672E"/>
    <w:rsid w:val="4B932A57"/>
    <w:rsid w:val="4C980ECF"/>
    <w:rsid w:val="4EE97D68"/>
    <w:rsid w:val="4F804C4C"/>
    <w:rsid w:val="4FC751C0"/>
    <w:rsid w:val="4FED6654"/>
    <w:rsid w:val="51267320"/>
    <w:rsid w:val="51B2716A"/>
    <w:rsid w:val="52924F7B"/>
    <w:rsid w:val="54F12BF2"/>
    <w:rsid w:val="57332A02"/>
    <w:rsid w:val="57627A04"/>
    <w:rsid w:val="59455F5A"/>
    <w:rsid w:val="59BA1F95"/>
    <w:rsid w:val="5B9C4741"/>
    <w:rsid w:val="5D496B1E"/>
    <w:rsid w:val="5D7A7938"/>
    <w:rsid w:val="5D933574"/>
    <w:rsid w:val="5DD23C49"/>
    <w:rsid w:val="600D6924"/>
    <w:rsid w:val="61A80808"/>
    <w:rsid w:val="67CE2806"/>
    <w:rsid w:val="6AF375C6"/>
    <w:rsid w:val="726116CE"/>
    <w:rsid w:val="78E133F1"/>
    <w:rsid w:val="79DB51A4"/>
    <w:rsid w:val="79F3209E"/>
    <w:rsid w:val="7A4764AE"/>
    <w:rsid w:val="7CF536DD"/>
    <w:rsid w:val="7DE644D7"/>
    <w:rsid w:val="7F1D432C"/>
    <w:rsid w:val="7F9D7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5">
    <w:name w:val="heading 2"/>
    <w:next w:val="1"/>
    <w:link w:val="14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link w:val="15"/>
    <w:qFormat/>
    <w:uiPriority w:val="1"/>
    <w:pPr>
      <w:ind w:left="220"/>
    </w:pPr>
    <w:rPr>
      <w:sz w:val="28"/>
      <w:szCs w:val="28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 Char"/>
    <w:basedOn w:val="11"/>
    <w:link w:val="4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4">
    <w:name w:val="标题 2 Char"/>
    <w:basedOn w:val="11"/>
    <w:link w:val="5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5">
    <w:name w:val="正文文本 Char"/>
    <w:basedOn w:val="11"/>
    <w:link w:val="6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6">
    <w:name w:val="页脚 Char"/>
    <w:basedOn w:val="11"/>
    <w:link w:val="8"/>
    <w:qFormat/>
    <w:uiPriority w:val="0"/>
    <w:rPr>
      <w:rFonts w:ascii="宋体" w:hAnsi="宋体" w:eastAsia="宋体" w:cs="宋体"/>
      <w:kern w:val="0"/>
      <w:sz w:val="18"/>
      <w:lang w:val="zh-CN" w:bidi="zh-CN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Char"/>
    <w:basedOn w:val="11"/>
    <w:link w:val="9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9">
    <w:name w:val="日期 Char"/>
    <w:basedOn w:val="11"/>
    <w:link w:val="7"/>
    <w:semiHidden/>
    <w:qFormat/>
    <w:uiPriority w:val="99"/>
    <w:rPr>
      <w:rFonts w:ascii="宋体" w:hAnsi="宋体" w:cs="宋体"/>
      <w:sz w:val="22"/>
      <w:szCs w:val="22"/>
      <w:lang w:val="zh-CN" w:bidi="zh-CN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1275</Words>
  <Characters>1364</Characters>
  <Lines>11</Lines>
  <Paragraphs>3</Paragraphs>
  <TotalTime>4</TotalTime>
  <ScaleCrop>false</ScaleCrop>
  <LinksUpToDate>false</LinksUpToDate>
  <CharactersWithSpaces>1434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2021-05-27T05:02:00Z</dcterms:created>
  <dc:creator>1741900802@qq.com</dc:creator>
  <cp:lastModifiedBy>Lenovo</cp:lastModifiedBy>
  <cp:lastPrinted>2022-11-09T07:20:00Z</cp:lastPrinted>
  <dcterms:modified xsi:type="dcterms:W3CDTF">2022-11-15T06:14:59Z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680B0BD8E1D4452584371527A926BFC5</vt:lpwstr>
  </property>
</Properties>
</file>