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AA19C">
      <w:pPr>
        <w:keepNext w:val="0"/>
        <w:keepLines w:val="0"/>
        <w:pageBreakBefore w:val="0"/>
        <w:widowControl w:val="0"/>
        <w:tabs>
          <w:tab w:val="left" w:pos="3956"/>
        </w:tabs>
        <w:kinsoku/>
        <w:wordWrap/>
        <w:overflowPunct/>
        <w:topLinePunct w:val="0"/>
        <w:autoSpaceDE/>
        <w:autoSpaceDN/>
        <w:bidi w:val="0"/>
        <w:adjustRightInd/>
        <w:snapToGrid/>
        <w:spacing w:after="0" w:line="580" w:lineRule="exact"/>
        <w:ind w:left="0"/>
        <w:jc w:val="center"/>
        <w:textAlignment w:val="auto"/>
        <w:rPr>
          <w:rFonts w:hint="eastAsia" w:ascii="方正小标宋简体" w:hAnsi="方正小标宋简体" w:eastAsia="方正小标宋简体" w:cs="方正小标宋简体"/>
          <w:color w:val="auto"/>
          <w:kern w:val="2"/>
          <w:sz w:val="44"/>
          <w:szCs w:val="44"/>
          <w:highlight w:val="none"/>
          <w:lang w:val="en-US" w:bidi="ar-SA"/>
        </w:rPr>
      </w:pPr>
      <w:r>
        <w:rPr>
          <w:rFonts w:hint="eastAsia" w:ascii="方正小标宋简体" w:hAnsi="方正小标宋简体" w:eastAsia="方正小标宋简体" w:cs="方正小标宋简体"/>
          <w:color w:val="auto"/>
          <w:kern w:val="2"/>
          <w:sz w:val="44"/>
          <w:szCs w:val="44"/>
          <w:highlight w:val="none"/>
          <w:lang w:val="en-US" w:bidi="ar-SA"/>
        </w:rPr>
        <w:t>吉首大学第二课堂积分管理办法</w:t>
      </w:r>
    </w:p>
    <w:p w14:paraId="2FE8D223">
      <w:pPr>
        <w:pStyle w:val="3"/>
        <w:keepNext w:val="0"/>
        <w:keepLines w:val="0"/>
        <w:pageBreakBefore w:val="0"/>
        <w:widowControl w:val="0"/>
        <w:kinsoku/>
        <w:wordWrap/>
        <w:overflowPunct/>
        <w:topLinePunct/>
        <w:autoSpaceDE/>
        <w:autoSpaceDN/>
        <w:bidi w:val="0"/>
        <w:spacing w:line="580" w:lineRule="exact"/>
        <w:ind w:left="0"/>
        <w:textAlignment w:val="auto"/>
        <w:rPr>
          <w:rFonts w:hint="eastAsia" w:ascii="方正小标宋简体" w:hAnsi="方正小标宋简体" w:eastAsia="方正小标宋简体" w:cs="方正小标宋简体"/>
          <w:color w:val="auto"/>
          <w:kern w:val="2"/>
          <w:sz w:val="24"/>
          <w:szCs w:val="24"/>
          <w:highlight w:val="none"/>
          <w:lang w:val="en-US" w:bidi="ar-SA"/>
        </w:rPr>
      </w:pPr>
      <w:r>
        <w:rPr>
          <w:rFonts w:hint="eastAsia" w:ascii="方正小标宋简体" w:hAnsi="方正小标宋简体" w:eastAsia="方正小标宋简体" w:cs="方正小标宋简体"/>
          <w:color w:val="auto"/>
          <w:kern w:val="2"/>
          <w:sz w:val="24"/>
          <w:szCs w:val="24"/>
          <w:highlight w:val="none"/>
          <w:lang w:val="en-US" w:bidi="ar-SA"/>
        </w:rPr>
        <w:t>（试行）</w:t>
      </w:r>
    </w:p>
    <w:p w14:paraId="4E0920A5">
      <w:pPr>
        <w:rPr>
          <w:rFonts w:hint="eastAsia"/>
        </w:rPr>
      </w:pPr>
    </w:p>
    <w:p w14:paraId="53C4DF7C">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为进一步规</w:t>
      </w:r>
      <w:r>
        <w:rPr>
          <w:rFonts w:hint="eastAsia" w:ascii="仿宋_GB2312" w:hAnsi="仿宋_GB2312" w:eastAsia="仿宋_GB2312" w:cs="仿宋_GB2312"/>
          <w:b w:val="0"/>
          <w:bCs/>
          <w:color w:val="auto"/>
          <w:kern w:val="0"/>
          <w:sz w:val="32"/>
          <w:szCs w:val="32"/>
          <w:highlight w:val="none"/>
          <w:lang w:val="zh-CN" w:bidi="zh-CN"/>
        </w:rPr>
        <w:t>范“第二课堂成绩单”积分</w:t>
      </w:r>
      <w:r>
        <w:rPr>
          <w:rFonts w:hint="default" w:ascii="Times New Roman" w:hAnsi="Times New Roman" w:eastAsia="仿宋_GB2312" w:cs="Times New Roman"/>
          <w:b w:val="0"/>
          <w:bCs/>
          <w:color w:val="auto"/>
          <w:kern w:val="0"/>
          <w:sz w:val="32"/>
          <w:szCs w:val="32"/>
          <w:highlight w:val="none"/>
          <w:lang w:val="zh-CN" w:bidi="zh-CN"/>
        </w:rPr>
        <w:t>管理工作，明确学院审核与学校监督职责，提升积分认定质量，根据《吉首大学“第二课堂成绩单”制度实施细则（</w:t>
      </w:r>
      <w:r>
        <w:rPr>
          <w:rFonts w:hint="default" w:ascii="Times New Roman" w:hAnsi="Times New Roman" w:eastAsia="仿宋_GB2312" w:cs="Times New Roman"/>
          <w:b w:val="0"/>
          <w:bCs/>
          <w:color w:val="auto"/>
          <w:kern w:val="0"/>
          <w:sz w:val="32"/>
          <w:szCs w:val="32"/>
          <w:highlight w:val="none"/>
          <w:lang w:val="en-US" w:bidi="zh-CN"/>
        </w:rPr>
        <w:t>2026年</w:t>
      </w:r>
      <w:r>
        <w:rPr>
          <w:rFonts w:hint="default" w:ascii="Times New Roman" w:hAnsi="Times New Roman" w:eastAsia="仿宋_GB2312" w:cs="Times New Roman"/>
          <w:b w:val="0"/>
          <w:bCs/>
          <w:color w:val="auto"/>
          <w:kern w:val="0"/>
          <w:sz w:val="32"/>
          <w:szCs w:val="32"/>
          <w:highlight w:val="none"/>
          <w:lang w:val="zh-CN" w:bidi="zh-CN"/>
        </w:rPr>
        <w:t>修订）》及相关文件精神，结合我校实际，特制定本办法。</w:t>
      </w:r>
    </w:p>
    <w:p w14:paraId="674347C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lang w:val="zh-CN" w:bidi="zh-CN"/>
        </w:rPr>
      </w:pPr>
      <w:r>
        <w:rPr>
          <w:rFonts w:hint="default" w:ascii="Times New Roman" w:hAnsi="Times New Roman" w:eastAsia="黑体" w:cs="Times New Roman"/>
          <w:b w:val="0"/>
          <w:bCs/>
          <w:color w:val="auto"/>
          <w:kern w:val="0"/>
          <w:sz w:val="32"/>
          <w:szCs w:val="32"/>
          <w:highlight w:val="none"/>
          <w:lang w:val="zh-CN" w:bidi="zh-CN"/>
        </w:rPr>
        <w:t>一、总体原则</w:t>
      </w:r>
    </w:p>
    <w:p w14:paraId="78235E56">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第二课堂积分管理实</w:t>
      </w:r>
      <w:r>
        <w:rPr>
          <w:rFonts w:hint="eastAsia" w:ascii="仿宋_GB2312" w:hAnsi="仿宋_GB2312" w:eastAsia="仿宋_GB2312" w:cs="仿宋_GB2312"/>
          <w:b w:val="0"/>
          <w:bCs/>
          <w:color w:val="auto"/>
          <w:kern w:val="0"/>
          <w:sz w:val="32"/>
          <w:szCs w:val="32"/>
          <w:highlight w:val="none"/>
          <w:lang w:val="zh-CN" w:bidi="zh-CN"/>
        </w:rPr>
        <w:t>行“学院终审、学校监督”的工作机制。各学院是学生积分认定的责任主体，负责本学院学</w:t>
      </w:r>
      <w:r>
        <w:rPr>
          <w:rFonts w:hint="default" w:ascii="Times New Roman" w:hAnsi="Times New Roman" w:eastAsia="仿宋_GB2312" w:cs="Times New Roman"/>
          <w:b w:val="0"/>
          <w:bCs/>
          <w:color w:val="auto"/>
          <w:kern w:val="0"/>
          <w:sz w:val="32"/>
          <w:szCs w:val="32"/>
          <w:highlight w:val="none"/>
          <w:lang w:val="zh-CN" w:bidi="zh-CN"/>
        </w:rPr>
        <w:t>生第二课堂积分的最终审核；</w:t>
      </w:r>
      <w:r>
        <w:rPr>
          <w:rFonts w:hint="eastAsia" w:ascii="仿宋_GB2312" w:hAnsi="仿宋_GB2312" w:eastAsia="仿宋_GB2312" w:cs="仿宋_GB2312"/>
          <w:b w:val="0"/>
          <w:bCs/>
          <w:color w:val="auto"/>
          <w:kern w:val="0"/>
          <w:sz w:val="32"/>
          <w:szCs w:val="32"/>
          <w:highlight w:val="none"/>
          <w:lang w:val="zh-CN" w:bidi="zh-CN"/>
        </w:rPr>
        <w:t>校“第二课堂成绩单”制度实施工作办公室（以下简称“校二课办”</w:t>
      </w:r>
      <w:r>
        <w:rPr>
          <w:rFonts w:hint="default" w:ascii="Times New Roman" w:hAnsi="Times New Roman" w:eastAsia="仿宋_GB2312" w:cs="Times New Roman"/>
          <w:b w:val="0"/>
          <w:bCs/>
          <w:color w:val="auto"/>
          <w:kern w:val="0"/>
          <w:sz w:val="32"/>
          <w:szCs w:val="32"/>
          <w:highlight w:val="none"/>
          <w:lang w:val="zh-CN" w:bidi="zh-CN"/>
        </w:rPr>
        <w:t>）负责对各学院审核工作进行监督、抽查与考核，不再逐项复核常规积分申请。</w:t>
      </w:r>
    </w:p>
    <w:p w14:paraId="6B186867">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lang w:val="zh-CN" w:bidi="zh-CN"/>
        </w:rPr>
      </w:pPr>
      <w:r>
        <w:rPr>
          <w:rFonts w:hint="default" w:ascii="Times New Roman" w:hAnsi="Times New Roman" w:eastAsia="黑体" w:cs="Times New Roman"/>
          <w:b w:val="0"/>
          <w:bCs/>
          <w:color w:val="auto"/>
          <w:kern w:val="0"/>
          <w:sz w:val="32"/>
          <w:szCs w:val="32"/>
          <w:highlight w:val="none"/>
          <w:lang w:val="zh-CN" w:bidi="zh-CN"/>
        </w:rPr>
        <w:t>二、积分认定程序</w:t>
      </w:r>
    </w:p>
    <w:p w14:paraId="0282A209">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各学</w:t>
      </w:r>
      <w:r>
        <w:rPr>
          <w:rFonts w:hint="eastAsia" w:ascii="仿宋_GB2312" w:hAnsi="仿宋_GB2312" w:eastAsia="仿宋_GB2312" w:cs="仿宋_GB2312"/>
          <w:b w:val="0"/>
          <w:bCs/>
          <w:color w:val="auto"/>
          <w:kern w:val="0"/>
          <w:sz w:val="32"/>
          <w:szCs w:val="32"/>
          <w:highlight w:val="none"/>
          <w:lang w:val="zh-CN" w:bidi="zh-CN"/>
        </w:rPr>
        <w:t>院“第二课堂成绩单”实</w:t>
      </w:r>
      <w:r>
        <w:rPr>
          <w:rFonts w:hint="default" w:ascii="Times New Roman" w:hAnsi="Times New Roman" w:eastAsia="仿宋_GB2312" w:cs="Times New Roman"/>
          <w:b w:val="0"/>
          <w:bCs/>
          <w:color w:val="auto"/>
          <w:kern w:val="0"/>
          <w:sz w:val="32"/>
          <w:szCs w:val="32"/>
          <w:highlight w:val="none"/>
          <w:lang w:val="zh-CN" w:bidi="zh-CN"/>
        </w:rPr>
        <w:t>施工作小组（以下简</w:t>
      </w:r>
      <w:r>
        <w:rPr>
          <w:rFonts w:hint="eastAsia" w:ascii="仿宋_GB2312" w:hAnsi="仿宋_GB2312" w:eastAsia="仿宋_GB2312" w:cs="仿宋_GB2312"/>
          <w:b w:val="0"/>
          <w:bCs/>
          <w:color w:val="auto"/>
          <w:kern w:val="0"/>
          <w:sz w:val="32"/>
          <w:szCs w:val="32"/>
          <w:highlight w:val="none"/>
          <w:lang w:val="zh-CN" w:bidi="zh-CN"/>
        </w:rPr>
        <w:t>称“学院工作小组”</w:t>
      </w:r>
      <w:r>
        <w:rPr>
          <w:rFonts w:hint="default" w:ascii="Times New Roman" w:hAnsi="Times New Roman" w:eastAsia="仿宋_GB2312" w:cs="Times New Roman"/>
          <w:b w:val="0"/>
          <w:bCs/>
          <w:color w:val="auto"/>
          <w:kern w:val="0"/>
          <w:sz w:val="32"/>
          <w:szCs w:val="32"/>
          <w:highlight w:val="none"/>
          <w:lang w:val="zh-CN" w:bidi="zh-CN"/>
        </w:rPr>
        <w:t>）按照以下程序开展积分审核工作：</w:t>
      </w:r>
    </w:p>
    <w:p w14:paraId="04B615BA">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1.活动发布与积分认定：校团委、学院</w:t>
      </w:r>
      <w:r>
        <w:rPr>
          <w:rFonts w:hint="eastAsia" w:ascii="仿宋_GB2312" w:hAnsi="仿宋_GB2312" w:eastAsia="仿宋_GB2312" w:cs="仿宋_GB2312"/>
          <w:b w:val="0"/>
          <w:bCs/>
          <w:color w:val="auto"/>
          <w:kern w:val="0"/>
          <w:sz w:val="32"/>
          <w:szCs w:val="32"/>
          <w:highlight w:val="none"/>
          <w:lang w:val="zh-CN" w:bidi="zh-CN"/>
        </w:rPr>
        <w:t>通过“第二课堂”信</w:t>
      </w:r>
      <w:r>
        <w:rPr>
          <w:rFonts w:hint="default" w:ascii="Times New Roman" w:hAnsi="Times New Roman" w:eastAsia="仿宋_GB2312" w:cs="Times New Roman"/>
          <w:b w:val="0"/>
          <w:bCs/>
          <w:color w:val="auto"/>
          <w:kern w:val="0"/>
          <w:sz w:val="32"/>
          <w:szCs w:val="32"/>
          <w:highlight w:val="none"/>
          <w:lang w:val="zh-CN" w:bidi="zh-CN"/>
        </w:rPr>
        <w:t>息系统（以下简</w:t>
      </w:r>
      <w:r>
        <w:rPr>
          <w:rFonts w:hint="eastAsia" w:ascii="仿宋_GB2312" w:hAnsi="仿宋_GB2312" w:eastAsia="仿宋_GB2312" w:cs="仿宋_GB2312"/>
          <w:b w:val="0"/>
          <w:bCs/>
          <w:color w:val="auto"/>
          <w:kern w:val="0"/>
          <w:sz w:val="32"/>
          <w:szCs w:val="32"/>
          <w:highlight w:val="none"/>
          <w:lang w:val="zh-CN" w:bidi="zh-CN"/>
        </w:rPr>
        <w:t>称“系统”</w:t>
      </w:r>
      <w:r>
        <w:rPr>
          <w:rFonts w:hint="default" w:ascii="Times New Roman" w:hAnsi="Times New Roman" w:eastAsia="仿宋_GB2312" w:cs="Times New Roman"/>
          <w:b w:val="0"/>
          <w:bCs/>
          <w:color w:val="auto"/>
          <w:kern w:val="0"/>
          <w:sz w:val="32"/>
          <w:szCs w:val="32"/>
          <w:highlight w:val="none"/>
          <w:lang w:val="zh-CN" w:bidi="zh-CN"/>
        </w:rPr>
        <w:t>）发布活动，学生报名参与，发布单位确认参与情况，由校团委或学院录入相关数据，最终完成积分认定。</w:t>
      </w:r>
    </w:p>
    <w:p w14:paraId="10DE3685">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2.学生自主申报与积分认定：学生参加校外活动或系统未实时记录的活动，由学生本人通过系统申报并上传佐证材料，学院审核相关数据，审核通过后完成积分认定。</w:t>
      </w:r>
    </w:p>
    <w:p w14:paraId="32AA2CB7">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.如果学生对积分认定结果有异议，可向学院或者校团委提出复核申请，学院或校团委应在5个工作日内作出答复。</w:t>
      </w:r>
    </w:p>
    <w:p w14:paraId="76E9C86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lang w:val="zh-CN" w:bidi="zh-CN"/>
        </w:rPr>
      </w:pPr>
      <w:r>
        <w:rPr>
          <w:rFonts w:hint="default" w:ascii="Times New Roman" w:hAnsi="Times New Roman" w:eastAsia="黑体" w:cs="Times New Roman"/>
          <w:b w:val="0"/>
          <w:bCs/>
          <w:color w:val="auto"/>
          <w:kern w:val="0"/>
          <w:sz w:val="32"/>
          <w:szCs w:val="32"/>
          <w:highlight w:val="none"/>
          <w:lang w:val="zh-CN" w:bidi="zh-CN"/>
        </w:rPr>
        <w:t>三、积分审查程序</w:t>
      </w:r>
    </w:p>
    <w:p w14:paraId="4869D695">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校团</w:t>
      </w:r>
      <w:r>
        <w:rPr>
          <w:rFonts w:hint="eastAsia" w:ascii="仿宋_GB2312" w:hAnsi="仿宋_GB2312" w:eastAsia="仿宋_GB2312" w:cs="仿宋_GB2312"/>
          <w:b w:val="0"/>
          <w:bCs/>
          <w:color w:val="auto"/>
          <w:kern w:val="0"/>
          <w:sz w:val="32"/>
          <w:szCs w:val="32"/>
          <w:highlight w:val="none"/>
          <w:lang w:val="zh-CN" w:bidi="zh-CN"/>
        </w:rPr>
        <w:t>委“二课办”履</w:t>
      </w:r>
      <w:r>
        <w:rPr>
          <w:rFonts w:hint="default" w:ascii="Times New Roman" w:hAnsi="Times New Roman" w:eastAsia="仿宋_GB2312" w:cs="Times New Roman"/>
          <w:b w:val="0"/>
          <w:bCs/>
          <w:color w:val="auto"/>
          <w:kern w:val="0"/>
          <w:sz w:val="32"/>
          <w:szCs w:val="32"/>
          <w:highlight w:val="none"/>
          <w:lang w:val="zh-CN" w:bidi="zh-CN"/>
        </w:rPr>
        <w:t>行监督职责，通过以下方式进行审查，不替代学院进行逐项审核：</w:t>
      </w:r>
    </w:p>
    <w:p w14:paraId="4D42D49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1</w:t>
      </w:r>
      <w:r>
        <w:rPr>
          <w:rFonts w:hint="default" w:ascii="Times New Roman" w:hAnsi="Times New Roman" w:eastAsia="仿宋_GB2312" w:cs="Times New Roman"/>
          <w:b w:val="0"/>
          <w:bCs/>
          <w:color w:val="auto"/>
          <w:kern w:val="0"/>
          <w:sz w:val="32"/>
          <w:szCs w:val="32"/>
          <w:highlight w:val="none"/>
          <w:lang w:val="zh-CN" w:bidi="zh-CN"/>
        </w:rPr>
        <w:t>.数据监测：通过系统实时监测各学院审核数据，对以下异常情形进行反馈：</w:t>
      </w:r>
    </w:p>
    <w:p w14:paraId="4A06883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（1）每学期期中和期末学院审核通过积分条目分别未超过本学院人数的5倍和10倍，不足额数据直接视为错误数据计入到数据错误率的计算中去。</w:t>
      </w:r>
    </w:p>
    <w:p w14:paraId="2AA44A56">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2</w:t>
      </w:r>
      <w:r>
        <w:rPr>
          <w:rFonts w:hint="default" w:ascii="Times New Roman" w:hAnsi="Times New Roman" w:eastAsia="仿宋_GB2312" w:cs="Times New Roman"/>
          <w:b w:val="0"/>
          <w:bCs/>
          <w:color w:val="auto"/>
          <w:kern w:val="0"/>
          <w:sz w:val="32"/>
          <w:szCs w:val="32"/>
          <w:highlight w:val="none"/>
          <w:lang w:val="zh-CN" w:bidi="zh-CN"/>
        </w:rPr>
        <w:t>）超</w:t>
      </w:r>
      <w:r>
        <w:rPr>
          <w:rFonts w:hint="eastAsia" w:ascii="仿宋_GB2312" w:hAnsi="仿宋_GB2312" w:eastAsia="仿宋_GB2312" w:cs="仿宋_GB2312"/>
          <w:b w:val="0"/>
          <w:bCs/>
          <w:color w:val="auto"/>
          <w:kern w:val="0"/>
          <w:sz w:val="32"/>
          <w:szCs w:val="32"/>
          <w:highlight w:val="none"/>
          <w:lang w:val="zh-CN" w:bidi="zh-CN"/>
        </w:rPr>
        <w:t>出“积分认定标准”上限的认定，如“主题团日条</w:t>
      </w:r>
      <w:r>
        <w:rPr>
          <w:rFonts w:hint="eastAsia" w:ascii="仿宋_GB2312" w:hAnsi="仿宋_GB2312" w:eastAsia="仿宋_GB2312" w:cs="仿宋_GB2312"/>
          <w:b w:val="0"/>
          <w:bCs/>
          <w:color w:val="auto"/>
          <w:kern w:val="0"/>
          <w:sz w:val="32"/>
          <w:szCs w:val="32"/>
          <w:highlight w:val="none"/>
          <w:lang w:val="en-US" w:bidi="zh-CN"/>
        </w:rPr>
        <w:t>目</w:t>
      </w:r>
      <w:r>
        <w:rPr>
          <w:rFonts w:hint="eastAsia" w:ascii="仿宋_GB2312" w:hAnsi="仿宋_GB2312" w:eastAsia="仿宋_GB2312" w:cs="仿宋_GB2312"/>
          <w:b w:val="0"/>
          <w:bCs/>
          <w:color w:val="auto"/>
          <w:kern w:val="0"/>
          <w:sz w:val="32"/>
          <w:szCs w:val="32"/>
          <w:highlight w:val="none"/>
          <w:lang w:val="zh-CN" w:bidi="zh-CN"/>
        </w:rPr>
        <w:t>”每学期上限</w:t>
      </w:r>
      <w:r>
        <w:rPr>
          <w:rFonts w:hint="eastAsia" w:ascii="仿宋_GB2312" w:hAnsi="仿宋_GB2312" w:eastAsia="仿宋_GB2312" w:cs="仿宋_GB2312"/>
          <w:b w:val="0"/>
          <w:bCs/>
          <w:color w:val="auto"/>
          <w:kern w:val="0"/>
          <w:sz w:val="32"/>
          <w:szCs w:val="32"/>
          <w:highlight w:val="none"/>
          <w:lang w:val="en-US" w:bidi="zh-CN"/>
        </w:rPr>
        <w:t>6积分</w:t>
      </w:r>
      <w:r>
        <w:rPr>
          <w:rFonts w:hint="eastAsia" w:ascii="仿宋_GB2312" w:hAnsi="仿宋_GB2312" w:eastAsia="仿宋_GB2312" w:cs="仿宋_GB2312"/>
          <w:b w:val="0"/>
          <w:bCs/>
          <w:color w:val="auto"/>
          <w:kern w:val="0"/>
          <w:sz w:val="32"/>
          <w:szCs w:val="32"/>
          <w:highlight w:val="none"/>
          <w:lang w:val="zh-CN" w:bidi="zh-CN"/>
        </w:rPr>
        <w:t>；</w:t>
      </w:r>
    </w:p>
    <w:p w14:paraId="3A8FA16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）同一活动重复认定积分；</w:t>
      </w:r>
    </w:p>
    <w:p w14:paraId="337C8547">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4</w:t>
      </w:r>
      <w:r>
        <w:rPr>
          <w:rFonts w:hint="default" w:ascii="Times New Roman" w:hAnsi="Times New Roman" w:eastAsia="仿宋_GB2312" w:cs="Times New Roman"/>
          <w:b w:val="0"/>
          <w:bCs/>
          <w:color w:val="auto"/>
          <w:kern w:val="0"/>
          <w:sz w:val="32"/>
          <w:szCs w:val="32"/>
          <w:highlight w:val="none"/>
          <w:lang w:val="zh-CN" w:bidi="zh-CN"/>
        </w:rPr>
        <w:t>）其他明显不合理的数据模式。</w:t>
      </w:r>
    </w:p>
    <w:p w14:paraId="4311C80F">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2</w:t>
      </w:r>
      <w:r>
        <w:rPr>
          <w:rFonts w:hint="default" w:ascii="Times New Roman" w:hAnsi="Times New Roman" w:eastAsia="仿宋_GB2312" w:cs="Times New Roman"/>
          <w:b w:val="0"/>
          <w:bCs/>
          <w:color w:val="auto"/>
          <w:kern w:val="0"/>
          <w:sz w:val="32"/>
          <w:szCs w:val="32"/>
          <w:highlight w:val="none"/>
          <w:lang w:val="zh-CN" w:bidi="zh-CN"/>
        </w:rPr>
        <w:t>.定期抽查：每学期抽检两次，每次在相应时间范围按一定比例抽取数据进行严格核查。</w:t>
      </w:r>
    </w:p>
    <w:p w14:paraId="52F5F574">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.专项检查：对出现以下情形之一的学院启动专项检查：</w:t>
      </w:r>
    </w:p>
    <w:p w14:paraId="4D91DADF">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1</w:t>
      </w:r>
      <w:r>
        <w:rPr>
          <w:rFonts w:hint="default" w:ascii="Times New Roman" w:hAnsi="Times New Roman" w:eastAsia="仿宋_GB2312" w:cs="Times New Roman"/>
          <w:b w:val="0"/>
          <w:bCs/>
          <w:color w:val="auto"/>
          <w:kern w:val="0"/>
          <w:sz w:val="32"/>
          <w:szCs w:val="32"/>
          <w:highlight w:val="none"/>
          <w:lang w:val="zh-CN" w:bidi="zh-CN"/>
        </w:rPr>
        <w:t>）抽查错误率超过</w:t>
      </w:r>
      <w:r>
        <w:rPr>
          <w:rFonts w:hint="default" w:ascii="Times New Roman" w:hAnsi="Times New Roman" w:eastAsia="仿宋_GB2312" w:cs="Times New Roman"/>
          <w:b w:val="0"/>
          <w:bCs/>
          <w:color w:val="auto"/>
          <w:kern w:val="0"/>
          <w:sz w:val="32"/>
          <w:szCs w:val="32"/>
          <w:highlight w:val="none"/>
          <w:lang w:val="en-US" w:bidi="zh-CN"/>
        </w:rPr>
        <w:t>20</w:t>
      </w:r>
      <w:r>
        <w:rPr>
          <w:rFonts w:hint="default" w:ascii="Times New Roman" w:hAnsi="Times New Roman" w:eastAsia="仿宋_GB2312" w:cs="Times New Roman"/>
          <w:b w:val="0"/>
          <w:bCs/>
          <w:color w:val="auto"/>
          <w:kern w:val="0"/>
          <w:sz w:val="32"/>
          <w:szCs w:val="32"/>
          <w:highlight w:val="none"/>
          <w:lang w:val="zh-CN" w:bidi="zh-CN"/>
        </w:rPr>
        <w:t>%；</w:t>
      </w:r>
    </w:p>
    <w:p w14:paraId="339F1C2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2</w:t>
      </w:r>
      <w:r>
        <w:rPr>
          <w:rFonts w:hint="default" w:ascii="Times New Roman" w:hAnsi="Times New Roman" w:eastAsia="仿宋_GB2312" w:cs="Times New Roman"/>
          <w:b w:val="0"/>
          <w:bCs/>
          <w:color w:val="auto"/>
          <w:kern w:val="0"/>
          <w:sz w:val="32"/>
          <w:szCs w:val="32"/>
          <w:highlight w:val="none"/>
          <w:lang w:val="zh-CN" w:bidi="zh-CN"/>
        </w:rPr>
        <w:t>）学生有效投诉累计达到3起及以上；</w:t>
      </w:r>
    </w:p>
    <w:p w14:paraId="72C712F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）发生严重弄虚作假事件。</w:t>
      </w:r>
      <w:bookmarkStart w:id="0" w:name="_GoBack"/>
      <w:bookmarkEnd w:id="0"/>
    </w:p>
    <w:p w14:paraId="402B701D">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4</w:t>
      </w:r>
      <w:r>
        <w:rPr>
          <w:rFonts w:hint="default" w:ascii="Times New Roman" w:hAnsi="Times New Roman" w:eastAsia="仿宋_GB2312" w:cs="Times New Roman"/>
          <w:b w:val="0"/>
          <w:bCs/>
          <w:color w:val="auto"/>
          <w:kern w:val="0"/>
          <w:sz w:val="32"/>
          <w:szCs w:val="32"/>
          <w:highlight w:val="none"/>
          <w:lang w:val="zh-CN" w:bidi="zh-CN"/>
        </w:rPr>
        <w:t>.申诉裁决：</w:t>
      </w:r>
    </w:p>
    <w:p w14:paraId="311330F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1</w:t>
      </w:r>
      <w:r>
        <w:rPr>
          <w:rFonts w:hint="default" w:ascii="Times New Roman" w:hAnsi="Times New Roman" w:eastAsia="仿宋_GB2312" w:cs="Times New Roman"/>
          <w:b w:val="0"/>
          <w:bCs/>
          <w:color w:val="auto"/>
          <w:kern w:val="0"/>
          <w:sz w:val="32"/>
          <w:szCs w:val="32"/>
          <w:highlight w:val="none"/>
          <w:lang w:val="zh-CN" w:bidi="zh-CN"/>
        </w:rPr>
        <w:t>）校团</w:t>
      </w:r>
      <w:r>
        <w:rPr>
          <w:rFonts w:hint="eastAsia" w:ascii="仿宋_GB2312" w:hAnsi="仿宋_GB2312" w:eastAsia="仿宋_GB2312" w:cs="仿宋_GB2312"/>
          <w:b w:val="0"/>
          <w:bCs/>
          <w:color w:val="auto"/>
          <w:kern w:val="0"/>
          <w:sz w:val="32"/>
          <w:szCs w:val="32"/>
          <w:highlight w:val="none"/>
          <w:lang w:val="zh-CN" w:bidi="zh-CN"/>
        </w:rPr>
        <w:t>委“二课办”受</w:t>
      </w:r>
      <w:r>
        <w:rPr>
          <w:rFonts w:hint="default" w:ascii="Times New Roman" w:hAnsi="Times New Roman" w:eastAsia="仿宋_GB2312" w:cs="Times New Roman"/>
          <w:b w:val="0"/>
          <w:bCs/>
          <w:color w:val="auto"/>
          <w:kern w:val="0"/>
          <w:sz w:val="32"/>
          <w:szCs w:val="32"/>
          <w:highlight w:val="none"/>
          <w:lang w:val="zh-CN" w:bidi="zh-CN"/>
        </w:rPr>
        <w:t>理学生对学院复核决定不服的申诉，在10个工作日内作出答复。</w:t>
      </w:r>
    </w:p>
    <w:p w14:paraId="08FFD9A4">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eastAsia="仿宋_GB2312" w:cs="Times New Roman"/>
          <w:b w:val="0"/>
          <w:bCs/>
          <w:color w:val="auto"/>
          <w:kern w:val="0"/>
          <w:sz w:val="32"/>
          <w:szCs w:val="32"/>
          <w:highlight w:val="none"/>
          <w:lang w:val="zh-CN" w:eastAsia="zh-CN" w:bidi="zh-CN"/>
        </w:rPr>
        <w:t>（</w:t>
      </w:r>
      <w:r>
        <w:rPr>
          <w:rFonts w:hint="default" w:ascii="Times New Roman" w:hAnsi="Times New Roman" w:eastAsia="仿宋_GB2312" w:cs="Times New Roman"/>
          <w:b w:val="0"/>
          <w:bCs/>
          <w:color w:val="auto"/>
          <w:kern w:val="0"/>
          <w:sz w:val="32"/>
          <w:szCs w:val="32"/>
          <w:highlight w:val="none"/>
          <w:lang w:val="en-US" w:eastAsia="zh-CN" w:bidi="zh-CN"/>
        </w:rPr>
        <w:t>2</w:t>
      </w:r>
      <w:r>
        <w:rPr>
          <w:rFonts w:hint="default" w:ascii="Times New Roman" w:hAnsi="Times New Roman" w:eastAsia="仿宋_GB2312" w:cs="Times New Roman"/>
          <w:b w:val="0"/>
          <w:bCs/>
          <w:color w:val="auto"/>
          <w:kern w:val="0"/>
          <w:sz w:val="32"/>
          <w:szCs w:val="32"/>
          <w:highlight w:val="none"/>
          <w:lang w:val="zh-CN" w:eastAsia="zh-CN" w:bidi="zh-CN"/>
        </w:rPr>
        <w:t>）</w:t>
      </w:r>
      <w:r>
        <w:rPr>
          <w:rFonts w:hint="default" w:ascii="Times New Roman" w:hAnsi="Times New Roman" w:eastAsia="仿宋_GB2312" w:cs="Times New Roman"/>
          <w:b w:val="0"/>
          <w:bCs/>
          <w:color w:val="auto"/>
          <w:kern w:val="0"/>
          <w:sz w:val="32"/>
          <w:szCs w:val="32"/>
          <w:highlight w:val="none"/>
          <w:lang w:val="en-US" w:bidi="zh-CN"/>
        </w:rPr>
        <w:t>活动承办方受理学生对因系统等原因导致的无法正常录入积分的申诉，在7个工作日内作出答复。</w:t>
      </w:r>
    </w:p>
    <w:p w14:paraId="39889C73">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eastAsia="仿宋_GB2312" w:cs="Times New Roman"/>
          <w:b w:val="0"/>
          <w:bCs/>
          <w:color w:val="auto"/>
          <w:kern w:val="0"/>
          <w:sz w:val="32"/>
          <w:szCs w:val="32"/>
          <w:highlight w:val="none"/>
          <w:lang w:val="en-US" w:eastAsia="zh-CN" w:bidi="zh-CN"/>
        </w:rPr>
        <w:t>（3）活动承办方在活动开始前受理学生对于因调课等原因无法正常参与线上已报名活动导致后期线上报名参与活动受限制的申诉，并及时作出答复。</w:t>
      </w:r>
    </w:p>
    <w:p w14:paraId="760AD94F">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lang w:val="zh-CN" w:bidi="zh-CN"/>
        </w:rPr>
      </w:pPr>
      <w:r>
        <w:rPr>
          <w:rFonts w:hint="default" w:ascii="Times New Roman" w:hAnsi="Times New Roman" w:eastAsia="黑体" w:cs="Times New Roman"/>
          <w:b w:val="0"/>
          <w:bCs/>
          <w:color w:val="auto"/>
          <w:kern w:val="0"/>
          <w:sz w:val="32"/>
          <w:szCs w:val="32"/>
          <w:highlight w:val="none"/>
          <w:lang w:val="zh-CN" w:bidi="zh-CN"/>
        </w:rPr>
        <w:t>四、校级抽检积分的方式</w:t>
      </w:r>
    </w:p>
    <w:p w14:paraId="46720A8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校级抽检采用随机抽样与重点核查相结合的方式，具体如下：</w:t>
      </w:r>
    </w:p>
    <w:p w14:paraId="74618EE2">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1.</w:t>
      </w:r>
      <w:r>
        <w:rPr>
          <w:rFonts w:hint="default" w:ascii="Times New Roman" w:hAnsi="Times New Roman" w:eastAsia="仿宋_GB2312" w:cs="Times New Roman"/>
          <w:b w:val="0"/>
          <w:bCs/>
          <w:color w:val="auto"/>
          <w:kern w:val="0"/>
          <w:sz w:val="32"/>
          <w:szCs w:val="32"/>
          <w:highlight w:val="none"/>
          <w:lang w:val="zh-CN" w:bidi="zh-CN"/>
        </w:rPr>
        <w:t>抽样方法：校二课办每</w:t>
      </w:r>
      <w:r>
        <w:rPr>
          <w:rFonts w:hint="default" w:ascii="Times New Roman" w:hAnsi="Times New Roman" w:eastAsia="仿宋_GB2312" w:cs="Times New Roman"/>
          <w:b w:val="0"/>
          <w:bCs/>
          <w:color w:val="auto"/>
          <w:kern w:val="0"/>
          <w:sz w:val="32"/>
          <w:szCs w:val="32"/>
          <w:highlight w:val="none"/>
          <w:lang w:val="en-US" w:eastAsia="zh-CN" w:bidi="zh-CN"/>
        </w:rPr>
        <w:t>次</w:t>
      </w:r>
      <w:r>
        <w:rPr>
          <w:rFonts w:hint="default" w:ascii="Times New Roman" w:hAnsi="Times New Roman" w:eastAsia="仿宋_GB2312" w:cs="Times New Roman"/>
          <w:b w:val="0"/>
          <w:bCs/>
          <w:color w:val="auto"/>
          <w:kern w:val="0"/>
          <w:sz w:val="32"/>
          <w:szCs w:val="32"/>
          <w:highlight w:val="none"/>
          <w:lang w:val="zh-CN" w:bidi="zh-CN"/>
        </w:rPr>
        <w:t>从各学院终审或录入的数据中（非二级学院录入的数据不在抽检范围），选取相应时间段内不低于</w:t>
      </w:r>
      <w:r>
        <w:rPr>
          <w:rFonts w:hint="default" w:ascii="Times New Roman" w:hAnsi="Times New Roman" w:eastAsia="仿宋_GB2312" w:cs="Times New Roman"/>
          <w:b w:val="0"/>
          <w:bCs/>
          <w:color w:val="auto"/>
          <w:kern w:val="0"/>
          <w:sz w:val="32"/>
          <w:szCs w:val="32"/>
          <w:highlight w:val="none"/>
          <w:lang w:val="en-US" w:bidi="zh-CN"/>
        </w:rPr>
        <w:t>5%的数据</w:t>
      </w:r>
      <w:r>
        <w:rPr>
          <w:rFonts w:hint="default" w:ascii="Times New Roman" w:hAnsi="Times New Roman" w:eastAsia="仿宋_GB2312" w:cs="Times New Roman"/>
          <w:b w:val="0"/>
          <w:bCs/>
          <w:color w:val="auto"/>
          <w:kern w:val="0"/>
          <w:sz w:val="32"/>
          <w:szCs w:val="32"/>
          <w:highlight w:val="none"/>
          <w:lang w:val="zh-CN" w:bidi="zh-CN"/>
        </w:rPr>
        <w:t>进行抽检。抽样数据覆盖五个课程模块，并适当兼顾不同年级、不同班级、不同类型活动。</w:t>
      </w:r>
    </w:p>
    <w:p w14:paraId="34A0B816">
      <w:pPr>
        <w:pStyle w:val="8"/>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cs="Times New Roman"/>
          <w:color w:val="auto"/>
          <w:highlight w:val="none"/>
          <w:lang w:val="en-US"/>
        </w:rPr>
      </w:pPr>
      <w:r>
        <w:rPr>
          <w:rFonts w:hint="default" w:ascii="Times New Roman" w:hAnsi="Times New Roman" w:eastAsia="仿宋_GB2312" w:cs="Times New Roman"/>
          <w:b w:val="0"/>
          <w:bCs/>
          <w:color w:val="auto"/>
          <w:kern w:val="0"/>
          <w:sz w:val="32"/>
          <w:szCs w:val="32"/>
          <w:highlight w:val="none"/>
          <w:lang w:val="en-US" w:bidi="zh-CN"/>
        </w:rPr>
        <w:t>2.抽样时间：定期从系统中抽取数据进行审查。抽样时间分别为开学第九周末（本次收集上学期放假第一天至开学第九周的数据）及当学期最后一天（本次收集第十周至当学期最后一天的数据）。</w:t>
      </w:r>
    </w:p>
    <w:p w14:paraId="250B7E8E">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核查内容：</w:t>
      </w:r>
    </w:p>
    <w:p w14:paraId="554D4DE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1</w:t>
      </w:r>
      <w:r>
        <w:rPr>
          <w:rFonts w:hint="default" w:ascii="Times New Roman" w:hAnsi="Times New Roman" w:eastAsia="仿宋_GB2312" w:cs="Times New Roman"/>
          <w:b w:val="0"/>
          <w:bCs/>
          <w:color w:val="auto"/>
          <w:kern w:val="0"/>
          <w:sz w:val="32"/>
          <w:szCs w:val="32"/>
          <w:highlight w:val="none"/>
          <w:lang w:val="zh-CN" w:bidi="zh-CN"/>
        </w:rPr>
        <w:t>）积分认定是否</w:t>
      </w:r>
      <w:r>
        <w:rPr>
          <w:rFonts w:hint="eastAsia" w:ascii="仿宋_GB2312" w:hAnsi="仿宋_GB2312" w:eastAsia="仿宋_GB2312" w:cs="仿宋_GB2312"/>
          <w:b w:val="0"/>
          <w:bCs/>
          <w:color w:val="auto"/>
          <w:kern w:val="0"/>
          <w:sz w:val="32"/>
          <w:szCs w:val="32"/>
          <w:highlight w:val="none"/>
          <w:lang w:val="zh-CN" w:bidi="zh-CN"/>
        </w:rPr>
        <w:t>符合《吉首大学“第二课堂成绩单”积</w:t>
      </w:r>
      <w:r>
        <w:rPr>
          <w:rFonts w:hint="default" w:ascii="Times New Roman" w:hAnsi="Times New Roman" w:eastAsia="仿宋_GB2312" w:cs="Times New Roman"/>
          <w:b w:val="0"/>
          <w:bCs/>
          <w:color w:val="auto"/>
          <w:kern w:val="0"/>
          <w:sz w:val="32"/>
          <w:szCs w:val="32"/>
          <w:highlight w:val="none"/>
          <w:lang w:val="zh-CN" w:bidi="zh-CN"/>
        </w:rPr>
        <w:t>分认定标准》；</w:t>
      </w:r>
    </w:p>
    <w:p w14:paraId="5610A201">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2</w:t>
      </w:r>
      <w:r>
        <w:rPr>
          <w:rFonts w:hint="default" w:ascii="Times New Roman" w:hAnsi="Times New Roman" w:eastAsia="仿宋_GB2312" w:cs="Times New Roman"/>
          <w:b w:val="0"/>
          <w:bCs/>
          <w:color w:val="auto"/>
          <w:kern w:val="0"/>
          <w:sz w:val="32"/>
          <w:szCs w:val="32"/>
          <w:highlight w:val="none"/>
          <w:lang w:val="zh-CN" w:bidi="zh-CN"/>
        </w:rPr>
        <w:t>）学生个人录入佐证材料是否准确、真实、完整；</w:t>
      </w:r>
    </w:p>
    <w:p w14:paraId="32FE999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）积分是否存在重复认定、超标准认定等错误；</w:t>
      </w:r>
    </w:p>
    <w:p w14:paraId="4C74518A">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eastAsia="zh-CN" w:bidi="zh-CN"/>
        </w:rPr>
      </w:pPr>
      <w:r>
        <w:rPr>
          <w:rFonts w:hint="default" w:ascii="Times New Roman" w:hAnsi="Times New Roman" w:eastAsia="仿宋_GB2312" w:cs="Times New Roman"/>
          <w:b w:val="0"/>
          <w:bCs/>
          <w:color w:val="auto"/>
          <w:kern w:val="0"/>
          <w:sz w:val="32"/>
          <w:szCs w:val="32"/>
          <w:highlight w:val="none"/>
          <w:lang w:val="zh-CN" w:eastAsia="zh-CN" w:bidi="zh-CN"/>
        </w:rPr>
        <w:t>（</w:t>
      </w:r>
      <w:r>
        <w:rPr>
          <w:rFonts w:hint="default" w:ascii="Times New Roman" w:hAnsi="Times New Roman" w:eastAsia="仿宋_GB2312" w:cs="Times New Roman"/>
          <w:b w:val="0"/>
          <w:bCs/>
          <w:color w:val="auto"/>
          <w:kern w:val="0"/>
          <w:sz w:val="32"/>
          <w:szCs w:val="32"/>
          <w:highlight w:val="none"/>
          <w:lang w:val="en-US" w:eastAsia="zh-CN" w:bidi="zh-CN"/>
        </w:rPr>
        <w:t>4</w:t>
      </w:r>
      <w:r>
        <w:rPr>
          <w:rFonts w:hint="default" w:ascii="Times New Roman" w:hAnsi="Times New Roman" w:eastAsia="仿宋_GB2312" w:cs="Times New Roman"/>
          <w:b w:val="0"/>
          <w:bCs/>
          <w:color w:val="auto"/>
          <w:kern w:val="0"/>
          <w:sz w:val="32"/>
          <w:szCs w:val="32"/>
          <w:highlight w:val="none"/>
          <w:lang w:val="zh-CN" w:eastAsia="zh-CN" w:bidi="zh-CN"/>
        </w:rPr>
        <w:t>）学院在新学期开学初</w:t>
      </w:r>
      <w:r>
        <w:rPr>
          <w:rFonts w:hint="default" w:ascii="Times New Roman" w:hAnsi="Times New Roman" w:eastAsia="仿宋_GB2312" w:cs="Times New Roman"/>
          <w:b w:val="0"/>
          <w:bCs/>
          <w:color w:val="auto"/>
          <w:kern w:val="0"/>
          <w:sz w:val="32"/>
          <w:szCs w:val="32"/>
          <w:highlight w:val="none"/>
          <w:lang w:val="en-US" w:eastAsia="zh-CN" w:bidi="zh-CN"/>
        </w:rPr>
        <w:t>是否</w:t>
      </w:r>
      <w:r>
        <w:rPr>
          <w:rFonts w:hint="default" w:ascii="Times New Roman" w:hAnsi="Times New Roman" w:eastAsia="仿宋_GB2312" w:cs="Times New Roman"/>
          <w:b w:val="0"/>
          <w:bCs/>
          <w:color w:val="auto"/>
          <w:kern w:val="0"/>
          <w:sz w:val="32"/>
          <w:szCs w:val="32"/>
          <w:highlight w:val="none"/>
          <w:lang w:val="zh-CN" w:eastAsia="zh-CN" w:bidi="zh-CN"/>
        </w:rPr>
        <w:t>对毕业生进行二课积分未达标预警。</w:t>
      </w:r>
    </w:p>
    <w:p w14:paraId="3E7045B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4</w:t>
      </w:r>
      <w:r>
        <w:rPr>
          <w:rFonts w:hint="default" w:ascii="Times New Roman" w:hAnsi="Times New Roman" w:eastAsia="仿宋_GB2312" w:cs="Times New Roman"/>
          <w:b w:val="0"/>
          <w:bCs/>
          <w:color w:val="auto"/>
          <w:kern w:val="0"/>
          <w:sz w:val="32"/>
          <w:szCs w:val="32"/>
          <w:highlight w:val="none"/>
          <w:lang w:val="zh-CN" w:bidi="zh-CN"/>
        </w:rPr>
        <w:t>.错误率计算：</w:t>
      </w:r>
    </w:p>
    <w:p w14:paraId="625CC299">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highlight w:val="none"/>
          <w:lang w:val="en-US"/>
        </w:rPr>
      </w:pPr>
      <w:r>
        <w:rPr>
          <w:rFonts w:hint="default" w:ascii="Times New Roman" w:hAnsi="Times New Roman" w:eastAsia="仿宋_GB2312" w:cs="Times New Roman"/>
          <w:b w:val="0"/>
          <w:bCs/>
          <w:color w:val="auto"/>
          <w:kern w:val="0"/>
          <w:sz w:val="32"/>
          <w:szCs w:val="32"/>
          <w:highlight w:val="none"/>
          <w:lang w:val="zh-CN" w:bidi="zh-CN"/>
        </w:rPr>
        <w:t>错误率</w:t>
      </w:r>
      <w:r>
        <w:rPr>
          <w:rFonts w:hint="eastAsia" w:ascii="仿宋_GB2312" w:hAnsi="仿宋_GB2312" w:eastAsia="仿宋_GB2312" w:cs="仿宋_GB2312"/>
          <w:b w:val="0"/>
          <w:bCs/>
          <w:color w:val="auto"/>
          <w:kern w:val="0"/>
          <w:sz w:val="32"/>
          <w:szCs w:val="32"/>
          <w:highlight w:val="none"/>
          <w:lang w:val="en-US" w:bidi="zh-CN"/>
        </w:rPr>
        <w:t>=</w:t>
      </w:r>
      <w:r>
        <w:rPr>
          <w:rFonts w:hint="default" w:ascii="Times New Roman" w:hAnsi="Times New Roman" w:eastAsia="仿宋_GB2312" w:cs="Times New Roman"/>
          <w:b w:val="0"/>
          <w:bCs/>
          <w:color w:val="auto"/>
          <w:kern w:val="0"/>
          <w:sz w:val="32"/>
          <w:szCs w:val="32"/>
          <w:highlight w:val="none"/>
          <w:lang w:val="zh-CN" w:bidi="zh-CN"/>
        </w:rPr>
        <w:t>抽检样本中错误记录数÷抽检样本总数</w:t>
      </w:r>
      <w:r>
        <w:rPr>
          <w:rFonts w:hint="eastAsia" w:ascii="仿宋_GB2312" w:hAnsi="仿宋_GB2312" w:eastAsia="仿宋_GB2312" w:cs="仿宋_GB2312"/>
          <w:b w:val="0"/>
          <w:bCs/>
          <w:color w:val="auto"/>
          <w:kern w:val="0"/>
          <w:sz w:val="32"/>
          <w:szCs w:val="32"/>
          <w:highlight w:val="none"/>
          <w:lang w:val="zh-CN" w:bidi="zh-CN"/>
        </w:rPr>
        <w:t>×</w:t>
      </w:r>
      <w:r>
        <w:rPr>
          <w:rFonts w:hint="default" w:ascii="Times New Roman" w:hAnsi="Times New Roman" w:eastAsia="仿宋_GB2312" w:cs="Times New Roman"/>
          <w:b w:val="0"/>
          <w:bCs/>
          <w:color w:val="auto"/>
          <w:kern w:val="0"/>
          <w:sz w:val="32"/>
          <w:szCs w:val="32"/>
          <w:highlight w:val="none"/>
          <w:lang w:val="zh-CN" w:bidi="zh-CN"/>
        </w:rPr>
        <w:t>100%</w:t>
      </w:r>
    </w:p>
    <w:p w14:paraId="6989F3B4">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5</w:t>
      </w:r>
      <w:r>
        <w:rPr>
          <w:rFonts w:hint="default" w:ascii="Times New Roman" w:hAnsi="Times New Roman" w:eastAsia="仿宋_GB2312" w:cs="Times New Roman"/>
          <w:b w:val="0"/>
          <w:bCs/>
          <w:color w:val="auto"/>
          <w:kern w:val="0"/>
          <w:sz w:val="32"/>
          <w:szCs w:val="32"/>
          <w:highlight w:val="none"/>
          <w:lang w:val="zh-CN" w:bidi="zh-CN"/>
        </w:rPr>
        <w:t>.结果反馈与整改：校团</w:t>
      </w:r>
      <w:r>
        <w:rPr>
          <w:rFonts w:hint="eastAsia" w:ascii="仿宋_GB2312" w:hAnsi="仿宋_GB2312" w:eastAsia="仿宋_GB2312" w:cs="仿宋_GB2312"/>
          <w:b w:val="0"/>
          <w:bCs/>
          <w:color w:val="auto"/>
          <w:kern w:val="0"/>
          <w:sz w:val="32"/>
          <w:szCs w:val="32"/>
          <w:highlight w:val="none"/>
          <w:lang w:val="zh-CN" w:bidi="zh-CN"/>
        </w:rPr>
        <w:t>委“二课办”将</w:t>
      </w:r>
      <w:r>
        <w:rPr>
          <w:rFonts w:hint="default" w:ascii="Times New Roman" w:hAnsi="Times New Roman" w:eastAsia="仿宋_GB2312" w:cs="Times New Roman"/>
          <w:b w:val="0"/>
          <w:bCs/>
          <w:color w:val="auto"/>
          <w:kern w:val="0"/>
          <w:sz w:val="32"/>
          <w:szCs w:val="32"/>
          <w:highlight w:val="none"/>
          <w:lang w:val="zh-CN" w:bidi="zh-CN"/>
        </w:rPr>
        <w:t>抽检结果反馈至各学院，学院应在15个工作日内完成整改。对抽检中发现的不规范认定，校二课办有权直接予以处理。</w:t>
      </w:r>
    </w:p>
    <w:p w14:paraId="73293427">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6</w:t>
      </w:r>
      <w:r>
        <w:rPr>
          <w:rFonts w:hint="default" w:ascii="Times New Roman" w:hAnsi="Times New Roman" w:eastAsia="仿宋_GB2312" w:cs="Times New Roman"/>
          <w:b w:val="0"/>
          <w:bCs/>
          <w:color w:val="auto"/>
          <w:kern w:val="0"/>
          <w:sz w:val="32"/>
          <w:szCs w:val="32"/>
          <w:highlight w:val="none"/>
          <w:lang w:val="zh-CN" w:bidi="zh-CN"/>
        </w:rPr>
        <w:t>.结果运用：抽检错误率作为学院第二课堂工作年度考核的核心指标之一，并纳入共青团工作考核。</w:t>
      </w:r>
    </w:p>
    <w:p w14:paraId="7778F02A">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lang w:val="zh-CN" w:bidi="zh-CN"/>
        </w:rPr>
      </w:pPr>
      <w:r>
        <w:rPr>
          <w:rFonts w:hint="default" w:ascii="Times New Roman" w:hAnsi="Times New Roman" w:eastAsia="黑体" w:cs="Times New Roman"/>
          <w:b w:val="0"/>
          <w:bCs/>
          <w:color w:val="auto"/>
          <w:kern w:val="0"/>
          <w:sz w:val="32"/>
          <w:szCs w:val="32"/>
          <w:highlight w:val="none"/>
          <w:lang w:val="zh-CN" w:bidi="zh-CN"/>
        </w:rPr>
        <w:t>五、共青团工作考核指标及说明</w:t>
      </w:r>
    </w:p>
    <w:p w14:paraId="359F2099">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zh-CN" w:bidi="zh-CN"/>
        </w:rPr>
        <w:t>为激励各学院认真履行第二课堂审核职责，将学院第二课堂工作质量纳入</w:t>
      </w:r>
      <w:r>
        <w:rPr>
          <w:rFonts w:hint="eastAsia" w:ascii="仿宋_GB2312" w:hAnsi="仿宋_GB2312" w:eastAsia="仿宋_GB2312" w:cs="仿宋_GB2312"/>
          <w:b w:val="0"/>
          <w:bCs/>
          <w:color w:val="auto"/>
          <w:kern w:val="0"/>
          <w:sz w:val="32"/>
          <w:szCs w:val="32"/>
          <w:highlight w:val="none"/>
          <w:lang w:val="zh-CN" w:bidi="zh-CN"/>
        </w:rPr>
        <w:t>“吉首大学五四红旗团委（团总支）”评选</w:t>
      </w:r>
      <w:r>
        <w:rPr>
          <w:rFonts w:hint="default" w:ascii="Times New Roman" w:hAnsi="Times New Roman" w:eastAsia="仿宋_GB2312" w:cs="Times New Roman"/>
          <w:b w:val="0"/>
          <w:bCs/>
          <w:color w:val="auto"/>
          <w:kern w:val="0"/>
          <w:sz w:val="32"/>
          <w:szCs w:val="32"/>
          <w:highlight w:val="none"/>
          <w:lang w:val="zh-CN" w:bidi="zh-CN"/>
        </w:rPr>
        <w:t>体系，具体考核内容及分值如下：</w:t>
      </w:r>
    </w:p>
    <w:tbl>
      <w:tblPr>
        <w:tblStyle w:val="10"/>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6495"/>
        <w:gridCol w:w="965"/>
      </w:tblGrid>
      <w:tr w14:paraId="5813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exact"/>
          <w:jc w:val="center"/>
        </w:trPr>
        <w:tc>
          <w:tcPr>
            <w:tcW w:w="1280" w:type="dxa"/>
            <w:vMerge w:val="restart"/>
            <w:tcBorders>
              <w:top w:val="single" w:color="auto" w:sz="4" w:space="0"/>
            </w:tcBorders>
            <w:shd w:val="clear" w:color="auto" w:fill="auto"/>
            <w:vAlign w:val="center"/>
          </w:tcPr>
          <w:p w14:paraId="3FF58880">
            <w:pPr>
              <w:spacing w:line="320" w:lineRule="exact"/>
              <w:jc w:val="center"/>
              <w:rPr>
                <w:rFonts w:hint="eastAsia" w:ascii="仿宋_GB2312" w:hAnsi="Calibri" w:eastAsia="仿宋_GB2312" w:cs="Times New Roman"/>
                <w:b/>
                <w:color w:val="auto"/>
                <w:kern w:val="0"/>
                <w:sz w:val="24"/>
                <w:szCs w:val="24"/>
                <w:highlight w:val="none"/>
                <w:lang w:val="en-US" w:eastAsia="zh-CN"/>
              </w:rPr>
            </w:pPr>
            <w:r>
              <w:rPr>
                <w:rFonts w:hint="eastAsia" w:ascii="仿宋_GB2312" w:hAnsi="Calibri" w:eastAsia="仿宋_GB2312" w:cs="Times New Roman"/>
                <w:b/>
                <w:color w:val="auto"/>
                <w:kern w:val="0"/>
                <w:sz w:val="24"/>
                <w:szCs w:val="24"/>
                <w:highlight w:val="none"/>
                <w:lang w:val="en-US" w:eastAsia="zh-CN"/>
              </w:rPr>
              <w:t>第二课堂成绩单</w:t>
            </w:r>
          </w:p>
          <w:p w14:paraId="4B27229F">
            <w:pPr>
              <w:pStyle w:val="8"/>
              <w:ind w:left="0" w:leftChars="0" w:firstLine="0" w:firstLineChars="0"/>
              <w:rPr>
                <w:rFonts w:hint="default"/>
                <w:color w:val="auto"/>
                <w:highlight w:val="none"/>
                <w:lang w:val="en-US" w:eastAsia="zh-CN"/>
              </w:rPr>
            </w:pPr>
            <w:r>
              <w:rPr>
                <w:rFonts w:hint="eastAsia" w:ascii="仿宋_GB2312" w:hAnsi="Calibri" w:eastAsia="仿宋_GB2312" w:cs="Times New Roman"/>
                <w:b/>
                <w:color w:val="auto"/>
                <w:kern w:val="0"/>
                <w:sz w:val="24"/>
                <w:szCs w:val="24"/>
                <w:highlight w:val="none"/>
                <w:lang w:val="en-US" w:eastAsia="zh-CN"/>
              </w:rPr>
              <w:t>（10分）</w:t>
            </w:r>
          </w:p>
        </w:tc>
        <w:tc>
          <w:tcPr>
            <w:tcW w:w="6495" w:type="dxa"/>
            <w:shd w:val="clear" w:color="auto" w:fill="auto"/>
            <w:vAlign w:val="center"/>
          </w:tcPr>
          <w:p w14:paraId="2E291EC2">
            <w:pPr>
              <w:spacing w:line="320" w:lineRule="exact"/>
              <w:rPr>
                <w:rFonts w:hint="eastAsia" w:ascii="仿宋_GB2312" w:hAnsi="Calibri" w:eastAsia="仿宋_GB2312" w:cs="Times New Roman"/>
                <w:b w:val="0"/>
                <w:bCs w:val="0"/>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学院通过二课系统发布</w:t>
            </w:r>
          </w:p>
          <w:p w14:paraId="69F773C2">
            <w:pPr>
              <w:spacing w:line="320" w:lineRule="exact"/>
              <w:rPr>
                <w:rFonts w:hint="eastAsia" w:ascii="仿宋_GB2312" w:hAnsi="Calibri" w:eastAsia="仿宋_GB2312" w:cs="Times New Roman"/>
                <w:b w:val="0"/>
                <w:bCs w:val="0"/>
                <w:color w:val="auto"/>
                <w:kern w:val="0"/>
                <w:sz w:val="24"/>
                <w:szCs w:val="24"/>
                <w:highlight w:val="none"/>
                <w:lang w:val="en-US" w:eastAsia="zh-CN"/>
              </w:rPr>
            </w:pPr>
            <w:r>
              <w:rPr>
                <w:rFonts w:hint="eastAsia" w:ascii="仿宋_GB2312" w:hAnsi="Calibri" w:eastAsia="仿宋_GB2312" w:cs="Times New Roman"/>
                <w:b w:val="0"/>
                <w:bCs w:val="0"/>
                <w:color w:val="auto"/>
                <w:kern w:val="0"/>
                <w:sz w:val="24"/>
                <w:szCs w:val="24"/>
                <w:highlight w:val="none"/>
                <w:lang w:val="en-US" w:eastAsia="zh-CN"/>
              </w:rPr>
              <w:t>院级思想政治与道德修养相关活动每学期不少于6次（1分）</w:t>
            </w:r>
          </w:p>
          <w:p w14:paraId="73929916">
            <w:pPr>
              <w:spacing w:line="320" w:lineRule="exact"/>
              <w:rPr>
                <w:rFonts w:hint="eastAsia" w:ascii="仿宋_GB2312" w:hAnsi="Calibri" w:eastAsia="仿宋_GB2312" w:cs="Times New Roman"/>
                <w:b w:val="0"/>
                <w:bCs w:val="0"/>
                <w:color w:val="auto"/>
                <w:kern w:val="0"/>
                <w:sz w:val="24"/>
                <w:szCs w:val="24"/>
                <w:highlight w:val="none"/>
                <w:lang w:val="en-US" w:eastAsia="zh-CN"/>
              </w:rPr>
            </w:pPr>
            <w:r>
              <w:rPr>
                <w:rFonts w:hint="eastAsia" w:ascii="仿宋_GB2312" w:hAnsi="Calibri" w:eastAsia="仿宋_GB2312" w:cs="Times New Roman"/>
                <w:b w:val="0"/>
                <w:bCs w:val="0"/>
                <w:color w:val="auto"/>
                <w:kern w:val="0"/>
                <w:sz w:val="24"/>
                <w:szCs w:val="24"/>
                <w:highlight w:val="none"/>
                <w:lang w:val="en-US" w:eastAsia="zh-CN"/>
              </w:rPr>
              <w:t>院级义务劳动每学期不少于4次（1分）</w:t>
            </w:r>
          </w:p>
          <w:p w14:paraId="315CB673">
            <w:pPr>
              <w:spacing w:line="320" w:lineRule="exact"/>
              <w:rPr>
                <w:rFonts w:hint="default"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b w:val="0"/>
                <w:bCs w:val="0"/>
                <w:color w:val="auto"/>
                <w:kern w:val="0"/>
                <w:sz w:val="24"/>
                <w:szCs w:val="24"/>
                <w:highlight w:val="none"/>
                <w:lang w:val="en-US" w:eastAsia="zh-CN"/>
              </w:rPr>
              <w:t>院级社会实践与志愿服务每学期不少于</w:t>
            </w:r>
            <w:r>
              <w:rPr>
                <w:rFonts w:hint="eastAsia" w:ascii="仿宋_GB2312" w:hAnsi="Calibri" w:eastAsia="仿宋_GB2312" w:cs="Times New Roman"/>
                <w:color w:val="auto"/>
                <w:kern w:val="0"/>
                <w:sz w:val="24"/>
                <w:szCs w:val="24"/>
                <w:highlight w:val="none"/>
                <w:lang w:val="en-US" w:eastAsia="zh-CN"/>
              </w:rPr>
              <w:t>4次（1分）</w:t>
            </w:r>
          </w:p>
          <w:p w14:paraId="507BB2D8">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院级创新创业与职业技能训练每学期不少于4次（1分）</w:t>
            </w:r>
          </w:p>
          <w:p w14:paraId="6992AE5E">
            <w:pPr>
              <w:spacing w:line="320" w:lineRule="exact"/>
              <w:rPr>
                <w:rFonts w:hint="default"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院级文化艺术与体育活动每学期不少于4次（1分）</w:t>
            </w:r>
          </w:p>
        </w:tc>
        <w:tc>
          <w:tcPr>
            <w:tcW w:w="965" w:type="dxa"/>
            <w:shd w:val="clear" w:color="auto" w:fill="auto"/>
            <w:vAlign w:val="center"/>
          </w:tcPr>
          <w:p w14:paraId="262776EC">
            <w:pPr>
              <w:spacing w:line="320" w:lineRule="exact"/>
              <w:jc w:val="center"/>
              <w:rPr>
                <w:rFonts w:hint="eastAsia" w:ascii="仿宋_GB2312" w:hAnsi="Calibri" w:eastAsia="仿宋_GB2312" w:cs="Times New Roman"/>
                <w:color w:val="auto"/>
                <w:kern w:val="0"/>
                <w:sz w:val="24"/>
                <w:szCs w:val="24"/>
                <w:highlight w:val="none"/>
                <w:lang w:eastAsia="zh-CN"/>
              </w:rPr>
            </w:pPr>
            <w:r>
              <w:rPr>
                <w:rFonts w:hint="eastAsia" w:ascii="仿宋_GB2312" w:hAnsi="Calibri" w:eastAsia="仿宋_GB2312" w:cs="Times New Roman"/>
                <w:color w:val="auto"/>
                <w:kern w:val="0"/>
                <w:sz w:val="24"/>
                <w:szCs w:val="24"/>
                <w:highlight w:val="none"/>
                <w:lang w:eastAsia="zh-CN"/>
              </w:rPr>
              <w:t>查系统</w:t>
            </w:r>
          </w:p>
        </w:tc>
      </w:tr>
      <w:tr w14:paraId="5DBF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exact"/>
          <w:jc w:val="center"/>
        </w:trPr>
        <w:tc>
          <w:tcPr>
            <w:tcW w:w="1280" w:type="dxa"/>
            <w:vMerge w:val="continue"/>
            <w:tcBorders>
              <w:bottom w:val="single" w:color="auto" w:sz="4" w:space="0"/>
            </w:tcBorders>
            <w:shd w:val="clear" w:color="auto" w:fill="auto"/>
            <w:vAlign w:val="center"/>
          </w:tcPr>
          <w:p w14:paraId="5ABDF806">
            <w:pPr>
              <w:spacing w:line="320" w:lineRule="exact"/>
              <w:jc w:val="center"/>
              <w:rPr>
                <w:rFonts w:hint="eastAsia" w:ascii="仿宋_GB2312" w:hAnsi="Calibri" w:eastAsia="仿宋_GB2312" w:cs="Times New Roman"/>
                <w:b/>
                <w:color w:val="auto"/>
                <w:kern w:val="0"/>
                <w:sz w:val="24"/>
                <w:szCs w:val="24"/>
                <w:highlight w:val="none"/>
                <w:lang w:val="en-US" w:eastAsia="zh-CN"/>
              </w:rPr>
            </w:pPr>
          </w:p>
        </w:tc>
        <w:tc>
          <w:tcPr>
            <w:tcW w:w="6495" w:type="dxa"/>
            <w:shd w:val="clear" w:color="auto" w:fill="auto"/>
            <w:vAlign w:val="center"/>
          </w:tcPr>
          <w:p w14:paraId="13A13675">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校团委定期对二级学院录入“二课”数据进行抽检</w:t>
            </w:r>
          </w:p>
          <w:p w14:paraId="5C0EB257">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抽检数据无错误（5分）</w:t>
            </w:r>
          </w:p>
          <w:p w14:paraId="77328DCC">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抽检数据错误率小于等于5%（4分）</w:t>
            </w:r>
          </w:p>
          <w:p w14:paraId="66DC9ACE">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抽检数据错误率大于5%且小于等于10%（3分）</w:t>
            </w:r>
          </w:p>
          <w:p w14:paraId="40202797">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抽检数据错误率大于10%且小于等于15%（2分）</w:t>
            </w:r>
          </w:p>
          <w:p w14:paraId="34975C60">
            <w:pPr>
              <w:spacing w:line="320" w:lineRule="exact"/>
              <w:rPr>
                <w:rFonts w:hint="eastAsia"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抽检数据错误率大于15%（1分）</w:t>
            </w:r>
          </w:p>
          <w:p w14:paraId="5CDCED46">
            <w:pPr>
              <w:pStyle w:val="8"/>
              <w:rPr>
                <w:rFonts w:hint="eastAsia"/>
                <w:color w:val="auto"/>
                <w:highlight w:val="none"/>
                <w:lang w:val="en-US" w:eastAsia="zh-CN"/>
              </w:rPr>
            </w:pPr>
          </w:p>
          <w:p w14:paraId="7610740F">
            <w:pPr>
              <w:pStyle w:val="8"/>
              <w:rPr>
                <w:rFonts w:hint="eastAsia"/>
                <w:color w:val="auto"/>
                <w:highlight w:val="none"/>
                <w:lang w:val="en-US" w:eastAsia="zh-CN"/>
              </w:rPr>
            </w:pPr>
          </w:p>
          <w:p w14:paraId="7DA2F82E">
            <w:pPr>
              <w:pStyle w:val="8"/>
              <w:ind w:left="0" w:leftChars="0" w:firstLine="0" w:firstLineChars="0"/>
              <w:rPr>
                <w:rFonts w:hint="default" w:ascii="仿宋_GB2312" w:hAnsi="Calibri" w:eastAsia="仿宋_GB2312" w:cs="Times New Roman"/>
                <w:color w:val="auto"/>
                <w:kern w:val="0"/>
                <w:sz w:val="24"/>
                <w:szCs w:val="24"/>
                <w:highlight w:val="none"/>
                <w:lang w:val="en-US" w:eastAsia="zh-CN"/>
              </w:rPr>
            </w:pPr>
          </w:p>
        </w:tc>
        <w:tc>
          <w:tcPr>
            <w:tcW w:w="965" w:type="dxa"/>
            <w:shd w:val="clear" w:color="auto" w:fill="auto"/>
            <w:vAlign w:val="center"/>
          </w:tcPr>
          <w:p w14:paraId="4D81246F">
            <w:pPr>
              <w:pStyle w:val="8"/>
              <w:ind w:left="0" w:leftChars="0" w:firstLine="0" w:firstLineChars="0"/>
              <w:rPr>
                <w:rFonts w:hint="default" w:ascii="仿宋_GB2312" w:hAnsi="Calibri" w:eastAsia="仿宋_GB2312" w:cs="Times New Roman"/>
                <w:color w:val="auto"/>
                <w:kern w:val="0"/>
                <w:sz w:val="24"/>
                <w:szCs w:val="24"/>
                <w:highlight w:val="none"/>
                <w:lang w:val="en-US" w:eastAsia="zh-CN"/>
              </w:rPr>
            </w:pPr>
            <w:r>
              <w:rPr>
                <w:rFonts w:hint="eastAsia" w:ascii="仿宋_GB2312" w:hAnsi="Calibri" w:eastAsia="仿宋_GB2312" w:cs="Times New Roman"/>
                <w:color w:val="auto"/>
                <w:kern w:val="0"/>
                <w:sz w:val="24"/>
                <w:szCs w:val="24"/>
                <w:highlight w:val="none"/>
                <w:lang w:val="en-US" w:eastAsia="zh-CN"/>
              </w:rPr>
              <w:t>看台账</w:t>
            </w:r>
          </w:p>
        </w:tc>
      </w:tr>
    </w:tbl>
    <w:p w14:paraId="4E13D83D">
      <w:pPr>
        <w:keepNext w:val="0"/>
        <w:keepLines w:val="0"/>
        <w:pageBreakBefore w:val="0"/>
        <w:widowControl w:val="0"/>
        <w:kinsoku/>
        <w:overflowPunct/>
        <w:topLinePunct/>
        <w:autoSpaceDE/>
        <w:autoSpaceDN/>
        <w:bidi w:val="0"/>
        <w:adjustRightInd w:val="0"/>
        <w:snapToGrid w:val="0"/>
        <w:spacing w:line="580" w:lineRule="exact"/>
        <w:ind w:firstLine="643" w:firstLineChars="200"/>
        <w:jc w:val="both"/>
        <w:textAlignment w:val="auto"/>
        <w:rPr>
          <w:rFonts w:hint="eastAsia" w:ascii="仿宋_GB2312" w:hAnsi="宋体" w:eastAsia="仿宋_GB2312" w:cs="宋体"/>
          <w:b w:val="0"/>
          <w:bCs/>
          <w:color w:val="auto"/>
          <w:kern w:val="0"/>
          <w:sz w:val="32"/>
          <w:szCs w:val="32"/>
          <w:highlight w:val="none"/>
          <w:lang w:val="zh-CN" w:bidi="zh-CN"/>
        </w:rPr>
      </w:pPr>
      <w:r>
        <w:rPr>
          <w:rFonts w:hint="eastAsia" w:ascii="仿宋_GB2312" w:hAnsi="宋体" w:eastAsia="仿宋_GB2312" w:cs="宋体"/>
          <w:b/>
          <w:bCs w:val="0"/>
          <w:color w:val="auto"/>
          <w:kern w:val="0"/>
          <w:sz w:val="32"/>
          <w:szCs w:val="32"/>
          <w:highlight w:val="none"/>
          <w:lang w:val="zh-CN" w:bidi="zh-CN"/>
        </w:rPr>
        <w:t>共青团工作考核说明：</w:t>
      </w:r>
    </w:p>
    <w:p w14:paraId="16532A22">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1.</w:t>
      </w:r>
      <w:r>
        <w:rPr>
          <w:rFonts w:hint="default" w:ascii="Times New Roman" w:hAnsi="Times New Roman" w:eastAsia="仿宋_GB2312" w:cs="Times New Roman"/>
          <w:b w:val="0"/>
          <w:bCs/>
          <w:color w:val="auto"/>
          <w:kern w:val="0"/>
          <w:sz w:val="32"/>
          <w:szCs w:val="32"/>
          <w:highlight w:val="none"/>
          <w:lang w:val="zh-CN" w:bidi="zh-CN"/>
        </w:rPr>
        <w:t>活动发布次数以每学期实</w:t>
      </w:r>
      <w:r>
        <w:rPr>
          <w:rFonts w:hint="eastAsia" w:ascii="仿宋_GB2312" w:hAnsi="仿宋_GB2312" w:eastAsia="仿宋_GB2312" w:cs="仿宋_GB2312"/>
          <w:b w:val="0"/>
          <w:bCs/>
          <w:color w:val="auto"/>
          <w:kern w:val="0"/>
          <w:sz w:val="32"/>
          <w:szCs w:val="32"/>
          <w:highlight w:val="none"/>
          <w:lang w:val="zh-CN" w:bidi="zh-CN"/>
        </w:rPr>
        <w:t>际通过“二课”系统发布并完成的活动为准，同一活动不得重复计算。</w:t>
      </w:r>
    </w:p>
    <w:p w14:paraId="00A6B979">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2.</w:t>
      </w:r>
      <w:r>
        <w:rPr>
          <w:rFonts w:hint="default" w:ascii="Times New Roman" w:hAnsi="Times New Roman" w:eastAsia="仿宋_GB2312" w:cs="Times New Roman"/>
          <w:b w:val="0"/>
          <w:bCs/>
          <w:color w:val="auto"/>
          <w:kern w:val="0"/>
          <w:sz w:val="32"/>
          <w:szCs w:val="32"/>
          <w:highlight w:val="none"/>
          <w:lang w:val="zh-CN" w:bidi="zh-CN"/>
        </w:rPr>
        <w:t>抽检错误率以校二课办发布的《学院第二课堂审核质量报告》为准。</w:t>
      </w:r>
    </w:p>
    <w:p w14:paraId="3121A0B3">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bidi="zh-CN"/>
        </w:rPr>
        <w:t>3.</w:t>
      </w:r>
      <w:r>
        <w:rPr>
          <w:rFonts w:hint="default" w:ascii="Times New Roman" w:hAnsi="Times New Roman" w:eastAsia="仿宋_GB2312" w:cs="Times New Roman"/>
          <w:b w:val="0"/>
          <w:bCs/>
          <w:color w:val="auto"/>
          <w:kern w:val="0"/>
          <w:sz w:val="32"/>
          <w:szCs w:val="32"/>
          <w:highlight w:val="none"/>
          <w:lang w:val="zh-CN" w:bidi="zh-CN"/>
        </w:rPr>
        <w:t>以上两项合计满分10分，直接计</w:t>
      </w:r>
      <w:r>
        <w:rPr>
          <w:rFonts w:hint="eastAsia" w:ascii="仿宋_GB2312" w:hAnsi="仿宋_GB2312" w:eastAsia="仿宋_GB2312" w:cs="仿宋_GB2312"/>
          <w:b w:val="0"/>
          <w:bCs/>
          <w:color w:val="auto"/>
          <w:kern w:val="0"/>
          <w:sz w:val="32"/>
          <w:szCs w:val="32"/>
          <w:highlight w:val="none"/>
          <w:lang w:val="zh-CN" w:bidi="zh-CN"/>
        </w:rPr>
        <w:t>入“五四红旗团委”评选总分。</w:t>
      </w:r>
    </w:p>
    <w:p w14:paraId="2D8034AF">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4.年度内出现以下情形之一的学院，取消当年“五四红旗团委”参评资格：</w:t>
      </w:r>
    </w:p>
    <w:p w14:paraId="59727537">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（1）抽检错误率连续两次高于20%；</w:t>
      </w:r>
    </w:p>
    <w:p w14:paraId="1CD71BE5">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（2）发生集体性弄虚作假事件（经查实累计5人次及以上）；</w:t>
      </w:r>
    </w:p>
    <w:p w14:paraId="5A1CE911">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（3）因数据录入与审核问题引发群体性学生投诉或舆情事件，造成恶劣影响。</w:t>
      </w:r>
    </w:p>
    <w:p w14:paraId="15F28F5B">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eastAsia" w:ascii="黑体" w:hAnsi="黑体" w:eastAsia="黑体" w:cs="黑体"/>
          <w:b w:val="0"/>
          <w:bCs/>
          <w:color w:val="auto"/>
          <w:kern w:val="0"/>
          <w:sz w:val="32"/>
          <w:szCs w:val="32"/>
          <w:highlight w:val="none"/>
          <w:lang w:val="en-US" w:eastAsia="zh-CN" w:bidi="zh-CN"/>
        </w:rPr>
      </w:pPr>
      <w:r>
        <w:rPr>
          <w:rFonts w:hint="eastAsia" w:ascii="黑体" w:hAnsi="黑体" w:eastAsia="黑体" w:cs="黑体"/>
          <w:b w:val="0"/>
          <w:bCs/>
          <w:color w:val="auto"/>
          <w:kern w:val="0"/>
          <w:sz w:val="32"/>
          <w:szCs w:val="32"/>
          <w:highlight w:val="none"/>
          <w:lang w:val="en-US" w:eastAsia="zh-CN" w:bidi="zh-CN"/>
        </w:rPr>
        <w:t>六、工作保障与纪律要求</w:t>
      </w:r>
    </w:p>
    <w:p w14:paraId="545C3BD8">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1.技术支持：校二课办会同信息化部门持续优</w:t>
      </w:r>
      <w:r>
        <w:rPr>
          <w:rFonts w:hint="eastAsia" w:ascii="仿宋_GB2312" w:hAnsi="仿宋_GB2312" w:eastAsia="仿宋_GB2312" w:cs="仿宋_GB2312"/>
          <w:b w:val="0"/>
          <w:bCs/>
          <w:color w:val="auto"/>
          <w:kern w:val="0"/>
          <w:sz w:val="32"/>
          <w:szCs w:val="32"/>
          <w:highlight w:val="none"/>
          <w:lang w:val="en-US" w:eastAsia="zh-CN" w:bidi="zh-CN"/>
        </w:rPr>
        <w:t>化“第二课堂”</w:t>
      </w:r>
      <w:r>
        <w:rPr>
          <w:rFonts w:hint="default" w:ascii="Times New Roman" w:hAnsi="Times New Roman" w:eastAsia="仿宋_GB2312" w:cs="Times New Roman"/>
          <w:b w:val="0"/>
          <w:bCs/>
          <w:color w:val="auto"/>
          <w:kern w:val="0"/>
          <w:sz w:val="32"/>
          <w:szCs w:val="32"/>
          <w:highlight w:val="none"/>
          <w:lang w:val="en-US" w:eastAsia="zh-CN" w:bidi="zh-CN"/>
        </w:rPr>
        <w:t>信息系统，确保活动发布、申报、审核、抽检、申诉等全流程线上可追溯。</w:t>
      </w:r>
    </w:p>
    <w:p w14:paraId="582E7231">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2.培训指导：校二课办每学期至少组织一次学院审核工作人员培训，解读认定标准，交流工作经验。</w:t>
      </w:r>
    </w:p>
    <w:p w14:paraId="5A9DD15D">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zh-CN" w:bidi="zh-CN"/>
        </w:rPr>
      </w:pPr>
      <w:r>
        <w:rPr>
          <w:rFonts w:hint="default" w:ascii="Times New Roman" w:hAnsi="Times New Roman" w:eastAsia="仿宋_GB2312" w:cs="Times New Roman"/>
          <w:b w:val="0"/>
          <w:bCs/>
          <w:color w:val="auto"/>
          <w:kern w:val="0"/>
          <w:sz w:val="32"/>
          <w:szCs w:val="32"/>
          <w:highlight w:val="none"/>
          <w:lang w:val="en-US" w:eastAsia="zh-CN" w:bidi="zh-CN"/>
        </w:rPr>
        <w:t>3.纪律追究：学院工作人员在审核过程中存在违规操作、徇私舞弊、虚假认定等行为的，一经查实，按《吉首大学“第二课堂成绩单”制度实施细则》第十条及相关规定严肃处理，并追究学院管理责任。学生弄虚作假的，取消积分并按考试违纪处理。</w:t>
      </w:r>
    </w:p>
    <w:p w14:paraId="29889CC9">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eastAsia" w:ascii="黑体" w:hAnsi="黑体" w:eastAsia="黑体" w:cs="黑体"/>
          <w:b w:val="0"/>
          <w:bCs/>
          <w:color w:val="auto"/>
          <w:kern w:val="0"/>
          <w:sz w:val="32"/>
          <w:szCs w:val="32"/>
          <w:highlight w:val="none"/>
          <w:lang w:val="en-US" w:eastAsia="zh-CN" w:bidi="zh-CN"/>
        </w:rPr>
      </w:pPr>
      <w:r>
        <w:rPr>
          <w:rFonts w:hint="eastAsia" w:ascii="黑体" w:hAnsi="黑体" w:eastAsia="黑体" w:cs="黑体"/>
          <w:b w:val="0"/>
          <w:bCs/>
          <w:color w:val="auto"/>
          <w:kern w:val="0"/>
          <w:sz w:val="32"/>
          <w:szCs w:val="32"/>
          <w:highlight w:val="none"/>
          <w:lang w:val="en-US" w:eastAsia="zh-CN" w:bidi="zh-CN"/>
        </w:rPr>
        <w:t>七、附则</w:t>
      </w:r>
    </w:p>
    <w:p w14:paraId="1E9D3479">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1.本办法未涉及的事项，由学</w:t>
      </w:r>
      <w:r>
        <w:rPr>
          <w:rFonts w:hint="eastAsia" w:ascii="仿宋_GB2312" w:hAnsi="仿宋_GB2312" w:eastAsia="仿宋_GB2312" w:cs="仿宋_GB2312"/>
          <w:b w:val="0"/>
          <w:bCs/>
          <w:color w:val="auto"/>
          <w:kern w:val="0"/>
          <w:sz w:val="32"/>
          <w:szCs w:val="32"/>
          <w:highlight w:val="none"/>
          <w:lang w:val="en-US" w:eastAsia="zh-CN" w:bidi="zh-CN"/>
        </w:rPr>
        <w:t>院“第二课堂成绩单”实施领导小组提出意见报学校领导小组办公室认定。</w:t>
      </w:r>
    </w:p>
    <w:p w14:paraId="50ABBC3B">
      <w:pPr>
        <w:keepNext w:val="0"/>
        <w:keepLines w:val="0"/>
        <w:pageBreakBefore w:val="0"/>
        <w:widowControl w:val="0"/>
        <w:kinsoku/>
        <w:overflowPunct/>
        <w:topLinePunct/>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2.本办法由校团委负责解释，本办法自发布之日起施行。</w:t>
      </w:r>
    </w:p>
    <w:p w14:paraId="161C81C5">
      <w:pPr>
        <w:keepNext w:val="0"/>
        <w:keepLines w:val="0"/>
        <w:pageBreakBefore w:val="0"/>
        <w:widowControl w:val="0"/>
        <w:kinsoku/>
        <w:overflowPunct/>
        <w:topLinePunct/>
        <w:autoSpaceDE/>
        <w:autoSpaceDN/>
        <w:bidi w:val="0"/>
        <w:adjustRightInd w:val="0"/>
        <w:snapToGrid w:val="0"/>
        <w:spacing w:line="580" w:lineRule="exact"/>
        <w:ind w:firstLine="640" w:firstLineChars="200"/>
        <w:jc w:val="right"/>
        <w:textAlignment w:val="auto"/>
        <w:rPr>
          <w:rFonts w:hint="default" w:ascii="Times New Roman" w:hAnsi="Times New Roman" w:eastAsia="仿宋_GB2312" w:cs="Times New Roman"/>
          <w:b w:val="0"/>
          <w:bCs/>
          <w:color w:val="auto"/>
          <w:kern w:val="0"/>
          <w:sz w:val="32"/>
          <w:szCs w:val="32"/>
          <w:highlight w:val="none"/>
          <w:lang w:val="zh-CN" w:eastAsia="zh-CN" w:bidi="zh-CN"/>
        </w:rPr>
      </w:pPr>
    </w:p>
    <w:p w14:paraId="6EAC11DB">
      <w:pPr>
        <w:keepNext w:val="0"/>
        <w:keepLines w:val="0"/>
        <w:pageBreakBefore w:val="0"/>
        <w:widowControl w:val="0"/>
        <w:kinsoku/>
        <w:wordWrap w:val="0"/>
        <w:overflowPunct/>
        <w:topLinePunct/>
        <w:autoSpaceDE/>
        <w:autoSpaceDN/>
        <w:bidi w:val="0"/>
        <w:adjustRightInd w:val="0"/>
        <w:snapToGrid w:val="0"/>
        <w:spacing w:line="580" w:lineRule="exact"/>
        <w:ind w:firstLine="640" w:firstLineChars="200"/>
        <w:jc w:val="right"/>
        <w:textAlignment w:val="auto"/>
        <w:rPr>
          <w:rFonts w:hint="default" w:ascii="Times New Roman" w:hAnsi="Times New Roman" w:eastAsia="仿宋_GB2312" w:cs="Times New Roman"/>
          <w:b w:val="0"/>
          <w:bCs/>
          <w:color w:val="auto"/>
          <w:kern w:val="0"/>
          <w:sz w:val="32"/>
          <w:szCs w:val="32"/>
          <w:highlight w:val="none"/>
          <w:lang w:val="zh-CN" w:eastAsia="zh-CN" w:bidi="zh-CN"/>
        </w:rPr>
      </w:pPr>
      <w:r>
        <w:rPr>
          <w:rFonts w:hint="default" w:ascii="Times New Roman" w:hAnsi="Times New Roman" w:eastAsia="仿宋_GB2312" w:cs="Times New Roman"/>
          <w:b w:val="0"/>
          <w:bCs/>
          <w:color w:val="auto"/>
          <w:kern w:val="0"/>
          <w:sz w:val="32"/>
          <w:szCs w:val="32"/>
          <w:highlight w:val="none"/>
          <w:lang w:val="zh-CN" w:eastAsia="zh-CN" w:bidi="zh-CN"/>
        </w:rPr>
        <w:t>共青团吉首大学委员会</w:t>
      </w:r>
      <w:r>
        <w:rPr>
          <w:rFonts w:hint="eastAsia" w:ascii="Times New Roman" w:hAnsi="Times New Roman" w:eastAsia="仿宋_GB2312" w:cs="Times New Roman"/>
          <w:b w:val="0"/>
          <w:bCs/>
          <w:color w:val="auto"/>
          <w:kern w:val="0"/>
          <w:sz w:val="32"/>
          <w:szCs w:val="32"/>
          <w:highlight w:val="none"/>
          <w:lang w:val="zh-CN" w:eastAsia="zh-CN" w:bidi="zh-CN"/>
        </w:rPr>
        <w:t>　　</w:t>
      </w:r>
    </w:p>
    <w:p w14:paraId="04773200">
      <w:pPr>
        <w:keepNext w:val="0"/>
        <w:keepLines w:val="0"/>
        <w:pageBreakBefore w:val="0"/>
        <w:widowControl w:val="0"/>
        <w:kinsoku/>
        <w:wordWrap w:val="0"/>
        <w:overflowPunct/>
        <w:topLinePunct/>
        <w:autoSpaceDE/>
        <w:autoSpaceDN/>
        <w:bidi w:val="0"/>
        <w:adjustRightInd w:val="0"/>
        <w:snapToGrid w:val="0"/>
        <w:spacing w:line="580" w:lineRule="exact"/>
        <w:ind w:firstLine="640" w:firstLineChars="200"/>
        <w:jc w:val="right"/>
        <w:textAlignment w:val="auto"/>
        <w:rPr>
          <w:rFonts w:hint="default" w:ascii="Times New Roman" w:hAnsi="Times New Roman" w:eastAsia="仿宋_GB2312" w:cs="Times New Roman"/>
          <w:b w:val="0"/>
          <w:bCs/>
          <w:color w:val="auto"/>
          <w:kern w:val="0"/>
          <w:sz w:val="32"/>
          <w:szCs w:val="32"/>
          <w:highlight w:val="none"/>
          <w:lang w:val="en-US" w:eastAsia="zh-CN" w:bidi="zh-CN"/>
        </w:rPr>
      </w:pPr>
      <w:r>
        <w:rPr>
          <w:rFonts w:hint="default" w:ascii="Times New Roman" w:hAnsi="Times New Roman" w:eastAsia="仿宋_GB2312" w:cs="Times New Roman"/>
          <w:b w:val="0"/>
          <w:bCs/>
          <w:color w:val="auto"/>
          <w:kern w:val="0"/>
          <w:sz w:val="32"/>
          <w:szCs w:val="32"/>
          <w:highlight w:val="none"/>
          <w:lang w:val="en-US" w:eastAsia="zh-CN" w:bidi="zh-CN"/>
        </w:rPr>
        <w:t>2026年7月6日</w:t>
      </w:r>
      <w:r>
        <w:rPr>
          <w:rFonts w:hint="eastAsia" w:ascii="Times New Roman" w:hAnsi="Times New Roman" w:eastAsia="仿宋_GB2312" w:cs="Times New Roman"/>
          <w:b w:val="0"/>
          <w:bCs/>
          <w:color w:val="auto"/>
          <w:kern w:val="0"/>
          <w:sz w:val="32"/>
          <w:szCs w:val="32"/>
          <w:highlight w:val="none"/>
          <w:lang w:val="en-US" w:eastAsia="zh-CN" w:bidi="zh-CN"/>
        </w:rPr>
        <w:t>　　</w:t>
      </w:r>
    </w:p>
    <w:p w14:paraId="72F4B1D9">
      <w:pPr>
        <w:topLinePunct/>
        <w:autoSpaceDE/>
        <w:autoSpaceDN/>
        <w:adjustRightInd w:val="0"/>
        <w:snapToGrid w:val="0"/>
        <w:spacing w:line="500" w:lineRule="exact"/>
        <w:ind w:firstLine="640" w:firstLineChars="200"/>
        <w:jc w:val="both"/>
        <w:rPr>
          <w:rFonts w:hint="eastAsia" w:ascii="仿宋_GB2312" w:hAnsi="宋体" w:eastAsia="仿宋_GB2312" w:cs="宋体"/>
          <w:b w:val="0"/>
          <w:bCs/>
          <w:color w:val="auto"/>
          <w:kern w:val="0"/>
          <w:sz w:val="32"/>
          <w:szCs w:val="32"/>
          <w:highlight w:val="none"/>
          <w:lang w:val="zh-CN" w:bidi="zh-CN"/>
        </w:rPr>
      </w:pPr>
    </w:p>
    <w:p w14:paraId="4C7481A0">
      <w:pPr>
        <w:topLinePunct/>
        <w:autoSpaceDE/>
        <w:autoSpaceDN/>
        <w:adjustRightInd w:val="0"/>
        <w:snapToGrid w:val="0"/>
        <w:spacing w:line="500" w:lineRule="exact"/>
        <w:ind w:firstLine="640" w:firstLineChars="200"/>
        <w:jc w:val="both"/>
        <w:rPr>
          <w:rFonts w:hint="eastAsia" w:ascii="仿宋_GB2312" w:hAnsi="宋体" w:eastAsia="仿宋_GB2312" w:cs="宋体"/>
          <w:b w:val="0"/>
          <w:bCs/>
          <w:color w:val="auto"/>
          <w:kern w:val="0"/>
          <w:sz w:val="32"/>
          <w:szCs w:val="32"/>
          <w:highlight w:val="none"/>
          <w:lang w:val="en-US" w:eastAsia="zh-CN" w:bidi="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F18CA1-252F-4418-8BCB-16EF36CE8D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1397D91-A533-40FC-A11E-BA289D27A81F}"/>
  </w:font>
  <w:font w:name="方正小标宋简体">
    <w:panose1 w:val="02000000000000000000"/>
    <w:charset w:val="86"/>
    <w:family w:val="script"/>
    <w:pitch w:val="default"/>
    <w:sig w:usb0="00000001" w:usb1="08000000" w:usb2="00000000" w:usb3="00000000" w:csb0="00040000" w:csb1="00000000"/>
    <w:embedRegular r:id="rId3" w:fontKey="{AEF628E0-C4E6-4C6E-8A01-544BBEE471CE}"/>
  </w:font>
  <w:font w:name="仿宋_GB2312">
    <w:panose1 w:val="02010609030101010101"/>
    <w:charset w:val="86"/>
    <w:family w:val="auto"/>
    <w:pitch w:val="default"/>
    <w:sig w:usb0="00000001" w:usb1="080E0000" w:usb2="00000000" w:usb3="00000000" w:csb0="00040000" w:csb1="00000000"/>
    <w:embedRegular r:id="rId4" w:fontKey="{7B890176-3DA4-4A90-9066-33BFF1D3AA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AEC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0D3EAD">
                          <w:pPr>
                            <w:pStyle w:val="6"/>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70D3EAD">
                    <w:pPr>
                      <w:pStyle w:val="6"/>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74829"/>
    <w:rsid w:val="0DF540CC"/>
    <w:rsid w:val="134A4EBA"/>
    <w:rsid w:val="14072DAB"/>
    <w:rsid w:val="1811244B"/>
    <w:rsid w:val="1A8B64E4"/>
    <w:rsid w:val="1B487F31"/>
    <w:rsid w:val="1F903C65"/>
    <w:rsid w:val="202F402B"/>
    <w:rsid w:val="20C73A29"/>
    <w:rsid w:val="22745AB0"/>
    <w:rsid w:val="22D3348E"/>
    <w:rsid w:val="238E2BA1"/>
    <w:rsid w:val="246D44E1"/>
    <w:rsid w:val="26656E3B"/>
    <w:rsid w:val="299B1B74"/>
    <w:rsid w:val="2B7366AC"/>
    <w:rsid w:val="2D1F2265"/>
    <w:rsid w:val="337831CD"/>
    <w:rsid w:val="340C59FC"/>
    <w:rsid w:val="34D57CA0"/>
    <w:rsid w:val="369301DE"/>
    <w:rsid w:val="37641845"/>
    <w:rsid w:val="3B074630"/>
    <w:rsid w:val="3D302CB2"/>
    <w:rsid w:val="3F43088C"/>
    <w:rsid w:val="3FA32A6A"/>
    <w:rsid w:val="40A37834"/>
    <w:rsid w:val="41760AA5"/>
    <w:rsid w:val="41B63597"/>
    <w:rsid w:val="43294827"/>
    <w:rsid w:val="44EE4C00"/>
    <w:rsid w:val="481B6EC3"/>
    <w:rsid w:val="4AB42F1C"/>
    <w:rsid w:val="4E1B152E"/>
    <w:rsid w:val="4EC61EE9"/>
    <w:rsid w:val="4FDC7DE2"/>
    <w:rsid w:val="54D35AA7"/>
    <w:rsid w:val="578C0648"/>
    <w:rsid w:val="59220792"/>
    <w:rsid w:val="5B0B62AA"/>
    <w:rsid w:val="5DA648A3"/>
    <w:rsid w:val="5FD255E8"/>
    <w:rsid w:val="66E0683D"/>
    <w:rsid w:val="69DD52B6"/>
    <w:rsid w:val="6AA87061"/>
    <w:rsid w:val="6B6B58D5"/>
    <w:rsid w:val="6E8B3532"/>
    <w:rsid w:val="6FDC1ABE"/>
    <w:rsid w:val="7068567C"/>
    <w:rsid w:val="742B7A65"/>
    <w:rsid w:val="74406B6D"/>
    <w:rsid w:val="77CA198A"/>
    <w:rsid w:val="79667075"/>
    <w:rsid w:val="7A18118A"/>
    <w:rsid w:val="7F9F5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qFormat/>
    <w:uiPriority w:val="1"/>
    <w:pPr>
      <w:ind w:left="16"/>
      <w:jc w:val="center"/>
      <w:outlineLvl w:val="3"/>
    </w:pPr>
    <w:rPr>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unhideWhenUsed/>
    <w:qFormat/>
    <w:uiPriority w:val="99"/>
    <w:pPr>
      <w:spacing w:after="120"/>
      <w:ind w:left="420" w:leftChars="20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unhideWhenUsed/>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2340</Words>
  <Characters>2391</Characters>
  <Lines>0</Lines>
  <Paragraphs>0</Paragraphs>
  <TotalTime>114</TotalTime>
  <ScaleCrop>false</ScaleCrop>
  <LinksUpToDate>false</LinksUpToDate>
  <CharactersWithSpaces>2391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2026-04-22T11:01:00Z</dcterms:created>
  <dc:creator>25416</dc:creator>
  <cp:lastModifiedBy>孟桐羽</cp:lastModifiedBy>
  <cp:lastPrinted>2026-07-06T08:58:00Z</cp:lastPrinted>
  <dcterms:modified xsi:type="dcterms:W3CDTF">2026-07-07T10:47:16Z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eyJoZGlkIjoiZjk3OWJhYjk4N2I2ZTNmMDM3ZmE1NjgxMjM0YWU1NTIiLCJ1c2VySWQiOiIxNjQ1NjIyNDA1In0=</vt:lpwstr>
  </property>
  <property fmtid="{D5CDD505-2E9C-101B-9397-08002B2CF9AE}" pid="4" name="ICV">
    <vt:lpwstr>6FF58AB5CFF04CCE89C0809A19E9BC10_13</vt:lpwstr>
  </property>
</Properties>
</file>