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7BC84">
      <w:pPr>
        <w:pStyle w:val="2"/>
        <w:ind w:left="0"/>
        <w:rPr>
          <w:rFonts w:hint="eastAsia" w:ascii="黑体" w:hAnsi="黑体" w:eastAsia="黑体" w:cs="黑体"/>
          <w:b w:val="0"/>
          <w:bCs w:val="0"/>
          <w:lang w:val="en-US"/>
        </w:rPr>
      </w:pPr>
      <w:bookmarkStart w:id="0" w:name="_附件1："/>
      <w:r>
        <w:rPr>
          <w:rFonts w:hint="eastAsia" w:ascii="黑体" w:hAnsi="黑体" w:eastAsia="黑体" w:cs="黑体"/>
          <w:b w:val="0"/>
          <w:bCs w:val="0"/>
          <w:lang w:val="en-US"/>
        </w:rPr>
        <w:t>附件</w:t>
      </w:r>
      <w:r>
        <w:rPr>
          <w:rFonts w:hint="eastAsia" w:ascii="黑体" w:hAnsi="黑体" w:eastAsia="黑体" w:cs="黑体"/>
          <w:b w:val="0"/>
          <w:bCs w:val="0"/>
          <w:lang w:val="en-US" w:eastAsia="zh-CN"/>
        </w:rPr>
        <w:t>2</w:t>
      </w:r>
      <w:r>
        <w:rPr>
          <w:rFonts w:hint="eastAsia" w:ascii="黑体" w:hAnsi="黑体" w:eastAsia="黑体" w:cs="黑体"/>
          <w:b w:val="0"/>
          <w:bCs w:val="0"/>
          <w:lang w:val="en-US"/>
        </w:rPr>
        <w:t>：</w:t>
      </w:r>
    </w:p>
    <w:bookmarkEnd w:id="0"/>
    <w:p w14:paraId="16ABC885">
      <w:pPr>
        <w:keepNext w:val="0"/>
        <w:keepLines w:val="0"/>
        <w:pageBreakBefore w:val="0"/>
        <w:widowControl w:val="0"/>
        <w:kinsoku/>
        <w:wordWrap/>
        <w:overflowPunct/>
        <w:topLinePunct w:val="0"/>
        <w:autoSpaceDE w:val="0"/>
        <w:autoSpaceDN w:val="0"/>
        <w:bidi w:val="0"/>
        <w:adjustRightInd/>
        <w:snapToGrid/>
        <w:spacing w:before="0" w:beforeLines="50" w:line="634" w:lineRule="exact"/>
        <w:jc w:val="center"/>
        <w:textAlignment w:val="auto"/>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吉首大学“青年马克思主义者培养工程”</w:t>
      </w:r>
    </w:p>
    <w:p w14:paraId="34D89A46">
      <w:pPr>
        <w:spacing w:line="634" w:lineRule="exact"/>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实施方案（</w:t>
      </w:r>
      <w:r>
        <w:rPr>
          <w:rFonts w:hint="eastAsia" w:ascii="方正小标宋简体" w:hAnsi="方正小标宋简体" w:eastAsia="方正小标宋简体"/>
          <w:sz w:val="44"/>
          <w:szCs w:val="44"/>
          <w:lang w:val="en-US"/>
        </w:rPr>
        <w:t>讨论稿</w:t>
      </w:r>
      <w:r>
        <w:rPr>
          <w:rFonts w:hint="eastAsia" w:ascii="方正小标宋简体" w:hAnsi="方正小标宋简体" w:eastAsia="方正小标宋简体"/>
          <w:sz w:val="44"/>
          <w:szCs w:val="44"/>
        </w:rPr>
        <w:t>）</w:t>
      </w:r>
    </w:p>
    <w:p w14:paraId="2A15B41A">
      <w:pPr>
        <w:pStyle w:val="3"/>
        <w:spacing w:before="8"/>
        <w:ind w:left="0"/>
        <w:rPr>
          <w:rFonts w:hint="eastAsia" w:ascii="方正小标宋简体"/>
          <w:sz w:val="33"/>
        </w:rPr>
      </w:pPr>
    </w:p>
    <w:p w14:paraId="03D41460">
      <w:pPr>
        <w:pStyle w:val="3"/>
        <w:spacing w:line="580" w:lineRule="exact"/>
        <w:ind w:left="0" w:firstLine="640" w:firstLineChars="200"/>
        <w:jc w:val="both"/>
        <w:rPr>
          <w:rFonts w:hint="eastAsia" w:ascii="仿宋_GB2312" w:hAnsi="仿宋_GB2312" w:eastAsia="仿宋_GB2312" w:cs="仿宋_GB2312"/>
        </w:rPr>
      </w:pPr>
      <w:r>
        <w:rPr>
          <w:rFonts w:hint="eastAsia" w:ascii="仿宋_GB2312" w:hAnsi="仿宋_GB2312" w:eastAsia="仿宋_GB2312" w:cs="仿宋_GB2312"/>
        </w:rPr>
        <w:t>为全面推进我校“青年马克思主义者培养工程”（以下简称“青马工程”）的科学化、专业化和系统化，进一步发挥共青团的思想引领作用，</w:t>
      </w:r>
      <w:r>
        <w:rPr>
          <w:rFonts w:hint="eastAsia" w:ascii="仿宋_GB2312" w:hAnsi="仿宋_GB2312" w:eastAsia="仿宋_GB2312" w:cs="仿宋_GB2312"/>
          <w:lang w:val="en-US"/>
        </w:rPr>
        <w:t>不断强化“青马工程”为党育人的政治功能，</w:t>
      </w:r>
      <w:r>
        <w:rPr>
          <w:rFonts w:hint="eastAsia" w:ascii="仿宋_GB2312" w:hAnsi="仿宋_GB2312" w:eastAsia="仿宋_GB2312" w:cs="仿宋_GB2312"/>
        </w:rPr>
        <w:t>有效提升大学生综合素质，根据共青团中央、教育部等部门《</w:t>
      </w:r>
      <w:r>
        <w:rPr>
          <w:rFonts w:hint="eastAsia" w:ascii="仿宋_GB2312" w:hAnsi="仿宋_GB2312" w:eastAsia="仿宋_GB2312" w:cs="仿宋_GB2312"/>
          <w:lang w:val="en-US"/>
        </w:rPr>
        <w:t>关于深入实施</w:t>
      </w:r>
      <w:r>
        <w:rPr>
          <w:rFonts w:hint="eastAsia" w:ascii="仿宋_GB2312" w:hAnsi="仿宋_GB2312" w:eastAsia="仿宋_GB2312" w:cs="仿宋_GB2312"/>
        </w:rPr>
        <w:t>青年马克思主义者培养工程</w:t>
      </w:r>
      <w:r>
        <w:rPr>
          <w:rFonts w:hint="eastAsia" w:ascii="仿宋_GB2312" w:hAnsi="仿宋_GB2312" w:eastAsia="仿宋_GB2312" w:cs="仿宋_GB2312"/>
          <w:lang w:val="en-US"/>
        </w:rPr>
        <w:t>的意见</w:t>
      </w:r>
      <w:r>
        <w:rPr>
          <w:rFonts w:hint="eastAsia" w:ascii="仿宋_GB2312" w:hAnsi="仿宋_GB2312" w:eastAsia="仿宋_GB2312" w:cs="仿宋_GB2312"/>
        </w:rPr>
        <w:t>》，结合我校实际，制定本实施方案。</w:t>
      </w:r>
    </w:p>
    <w:p w14:paraId="57BB29D5">
      <w:pPr>
        <w:pStyle w:val="3"/>
        <w:spacing w:line="580" w:lineRule="exact"/>
        <w:ind w:left="0" w:firstLine="640" w:firstLineChars="200"/>
        <w:jc w:val="both"/>
        <w:rPr>
          <w:rFonts w:hint="eastAsia" w:ascii="黑体" w:hAnsi="黑体" w:eastAsia="黑体" w:cs="黑体"/>
        </w:rPr>
      </w:pPr>
      <w:r>
        <w:rPr>
          <w:rFonts w:hint="eastAsia" w:ascii="黑体" w:hAnsi="黑体" w:eastAsia="黑体" w:cs="黑体"/>
        </w:rPr>
        <w:t>一、指导思想</w:t>
      </w:r>
    </w:p>
    <w:p w14:paraId="5A9CD405">
      <w:pPr>
        <w:pStyle w:val="3"/>
        <w:spacing w:line="580" w:lineRule="exact"/>
        <w:ind w:lef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坚持以习近平新时代中国特色社会主义思想为指导，深入学习贯彻党的二</w:t>
      </w:r>
      <w:r>
        <w:rPr>
          <w:rFonts w:hint="eastAsia" w:ascii="仿宋_GB2312" w:hAnsi="仿宋_GB2312" w:eastAsia="仿宋_GB2312" w:cs="仿宋_GB2312"/>
          <w:lang w:val="en-US" w:eastAsia="zh-CN"/>
        </w:rPr>
        <w:t>十届三中全会</w:t>
      </w:r>
      <w:r>
        <w:rPr>
          <w:rFonts w:hint="eastAsia" w:ascii="仿宋_GB2312" w:hAnsi="仿宋_GB2312" w:eastAsia="仿宋_GB2312" w:cs="仿宋_GB2312"/>
          <w:lang w:val="en-US"/>
        </w:rPr>
        <w:t>精神，认真贯彻落实习近平总书记关于青年工作的重要思想，着眼党的事业薪火相传，着力为党培养和输送坚定的青年政治骨干，引领他们更加紧密地团结在以习近平同志为核心的党中央周围，不断增进对党的政治认同、思想认同、情感认同，深刻领悟“两个确立”的决定性意义，进一步增强“四个意识”，坚定“四个自信”，做到“两个维护”，努力成长为具有坚定的马克思主义信仰、德才兼备、全面发展的社会主义合格建设者和可靠接班人。</w:t>
      </w:r>
    </w:p>
    <w:p w14:paraId="6443F4C7">
      <w:pPr>
        <w:pStyle w:val="3"/>
        <w:spacing w:line="580" w:lineRule="exact"/>
        <w:ind w:left="0" w:firstLine="640" w:firstLineChars="200"/>
        <w:jc w:val="both"/>
        <w:rPr>
          <w:rFonts w:hint="eastAsia" w:ascii="黑体" w:hAnsi="黑体" w:eastAsia="黑体" w:cs="黑体"/>
        </w:rPr>
      </w:pPr>
      <w:r>
        <w:rPr>
          <w:rFonts w:hint="eastAsia" w:ascii="黑体" w:hAnsi="黑体" w:eastAsia="黑体" w:cs="黑体"/>
        </w:rPr>
        <w:t>二、目标要求</w:t>
      </w:r>
    </w:p>
    <w:p w14:paraId="70EC0C49">
      <w:pPr>
        <w:pStyle w:val="3"/>
        <w:spacing w:line="580" w:lineRule="exact"/>
        <w:ind w:lef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通过持续深化改革和提质增效，使我校“青马工程”的培养体系更加完备，培养模式更为规范，加强青年政治引领的功能效应愈发凸显，进而源源不断培养和输送具有忠诚的政治品格，浓厚的家国情怀，扎实的理论功底，突出的能力素质，忠恕任事、人品服众的青年政治骨干。</w:t>
      </w:r>
    </w:p>
    <w:p w14:paraId="33C66279">
      <w:pPr>
        <w:pStyle w:val="3"/>
        <w:spacing w:line="580" w:lineRule="exact"/>
        <w:ind w:left="0" w:firstLine="640" w:firstLineChars="200"/>
        <w:jc w:val="both"/>
        <w:rPr>
          <w:rFonts w:hint="eastAsia" w:ascii="黑体" w:hAnsi="黑体" w:eastAsia="黑体" w:cs="黑体"/>
        </w:rPr>
      </w:pPr>
      <w:r>
        <w:rPr>
          <w:rFonts w:hint="eastAsia" w:ascii="黑体" w:hAnsi="黑体" w:eastAsia="黑体" w:cs="黑体"/>
        </w:rPr>
        <w:t>三、培养对象</w:t>
      </w:r>
    </w:p>
    <w:p w14:paraId="577B94D1">
      <w:pPr>
        <w:pStyle w:val="3"/>
        <w:spacing w:line="580" w:lineRule="exact"/>
        <w:ind w:lef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吉首大学“青马工程”的培养对象是学校及各二级学院18-35周岁的党员或团员中的入党积极分子，从学生会干部、共青团组织干部、学生社团干部、理论学习骨干及在学术科技、文化体育等方面成绩突出的优秀学生中选拔推荐，基层团支部（含学生会组织、学生社团组织临时团支部）书记、委员占比不低于60%。</w:t>
      </w:r>
    </w:p>
    <w:p w14:paraId="770B55C7">
      <w:pPr>
        <w:pStyle w:val="3"/>
        <w:spacing w:line="580" w:lineRule="exact"/>
        <w:ind w:left="0" w:firstLine="640" w:firstLineChars="200"/>
        <w:jc w:val="both"/>
        <w:rPr>
          <w:rFonts w:hint="eastAsia" w:ascii="黑体" w:hAnsi="黑体" w:eastAsia="黑体" w:cs="黑体"/>
        </w:rPr>
      </w:pPr>
      <w:r>
        <w:rPr>
          <w:rFonts w:hint="eastAsia" w:ascii="黑体" w:hAnsi="黑体" w:eastAsia="黑体" w:cs="黑体"/>
        </w:rPr>
        <w:t>四、培养原则</w:t>
      </w:r>
    </w:p>
    <w:p w14:paraId="7125B00B">
      <w:pPr>
        <w:pStyle w:val="3"/>
        <w:spacing w:line="580" w:lineRule="exact"/>
        <w:ind w:left="0" w:firstLine="640" w:firstLineChars="200"/>
        <w:jc w:val="both"/>
        <w:rPr>
          <w:rFonts w:hint="eastAsia" w:ascii="仿宋_GB2312" w:hAnsi="仿宋_GB2312" w:eastAsia="仿宋_GB2312" w:cs="仿宋_GB2312"/>
          <w:lang w:val="en-US"/>
        </w:rPr>
      </w:pPr>
      <w:r>
        <w:rPr>
          <w:rFonts w:hint="eastAsia" w:ascii="楷体" w:hAnsi="楷体" w:eastAsia="楷体" w:cs="楷体"/>
          <w:lang w:val="en-US"/>
        </w:rPr>
        <w:t>（一）坚持重点与一般相结合。</w:t>
      </w:r>
      <w:r>
        <w:rPr>
          <w:rFonts w:hint="eastAsia" w:ascii="仿宋_GB2312" w:hAnsi="仿宋_GB2312" w:eastAsia="仿宋_GB2312" w:cs="仿宋_GB2312"/>
          <w:lang w:val="en-US"/>
        </w:rPr>
        <w:t>聚焦培养青年政治骨干这一目标，尊重思想政治教育规律、青年成长规律等，突出青年马克思主义者培养的特殊要求。突出抓好学生会、共青团干部、入党积极分子等重点群体，促进他们中的优秀分子成长为青年马克思主义者，为青年树立榜样、树立导向，进而辐射带动其他青年，勇于在生活中和网络上同一切分裂、颠覆、渗透、破坏活动作斗争，旗帜鲜明地反对和抵制拜金主义、享乐主义、极端个人主义、历史虚无主义等错误思潮和思想观念。</w:t>
      </w:r>
    </w:p>
    <w:p w14:paraId="396EE689">
      <w:pPr>
        <w:pStyle w:val="3"/>
        <w:spacing w:line="580" w:lineRule="exact"/>
        <w:ind w:left="0" w:firstLine="640" w:firstLineChars="200"/>
        <w:jc w:val="both"/>
        <w:rPr>
          <w:rFonts w:hint="eastAsia" w:ascii="仿宋_GB2312" w:hAnsi="仿宋_GB2312" w:eastAsia="仿宋_GB2312" w:cs="仿宋_GB2312"/>
          <w:lang w:val="en-US"/>
        </w:rPr>
      </w:pPr>
      <w:r>
        <w:rPr>
          <w:rFonts w:hint="eastAsia" w:ascii="楷体" w:hAnsi="楷体" w:eastAsia="楷体" w:cs="楷体"/>
          <w:lang w:val="en-US"/>
        </w:rPr>
        <w:t>（二）坚持理论与实践相结合。</w:t>
      </w:r>
      <w:r>
        <w:rPr>
          <w:rFonts w:hint="eastAsia" w:ascii="仿宋_GB2312" w:hAnsi="仿宋_GB2312" w:eastAsia="仿宋_GB2312" w:cs="仿宋_GB2312"/>
          <w:lang w:val="en-US"/>
        </w:rPr>
        <w:t>组织引导青年加深对党的科学理论的理解掌握，学深悟透习近平新时代中国特色社会主义思想，掌握马克思主义的立场、观点和方法，进一步坚定跟党走中国特色社会主义道路的信心和决心。组织引导青年深入了解我国国家制度和国家治理体系，加强社会观察，在基层一线、困难艰苦地方磨砺意志、锤炼品格、增长才干，不断增进与人民群众的感情，树立群众观点，坚持群众路线。发挥共青团实践育人的优势，坚持理论联系实际，通过组织引导优秀青年参加各类社会实践活动，使他们不断加深对马克思主义中国化最新成果的理解和认识。</w:t>
      </w:r>
    </w:p>
    <w:p w14:paraId="309309FF">
      <w:pPr>
        <w:pStyle w:val="3"/>
        <w:spacing w:line="580" w:lineRule="exact"/>
        <w:ind w:left="0" w:firstLine="640" w:firstLineChars="200"/>
        <w:jc w:val="both"/>
        <w:rPr>
          <w:rFonts w:hint="eastAsia" w:ascii="仿宋_GB2312" w:hAnsi="仿宋_GB2312" w:eastAsia="仿宋_GB2312" w:cs="仿宋_GB2312"/>
          <w:lang w:val="en-US"/>
        </w:rPr>
      </w:pPr>
      <w:r>
        <w:rPr>
          <w:rFonts w:hint="eastAsia" w:ascii="楷体" w:hAnsi="楷体" w:eastAsia="楷体" w:cs="楷体"/>
          <w:lang w:val="en-US"/>
        </w:rPr>
        <w:t>（三）坚持组织培养与自主教育相结合。</w:t>
      </w:r>
      <w:r>
        <w:rPr>
          <w:rFonts w:hint="eastAsia" w:ascii="仿宋_GB2312" w:hAnsi="仿宋_GB2312" w:eastAsia="仿宋_GB2312" w:cs="仿宋_GB2312"/>
          <w:lang w:val="en-US"/>
        </w:rPr>
        <w:t>坚持“党管青年”“党管人才”原则，将党的基本理论、基本路线、基本方略贯穿“青马工程”实施的各领域和全过程。充分发挥共青团、学生会组织的作用，加强指导，科学规划，分步实施，有计划地加强组织培养，同时充分调动各类优秀青年自身的积极性和主动性，引导他们进行自我教育。</w:t>
      </w:r>
    </w:p>
    <w:p w14:paraId="46880C14">
      <w:pPr>
        <w:pStyle w:val="3"/>
        <w:spacing w:line="580" w:lineRule="exact"/>
        <w:ind w:left="0" w:firstLine="640" w:firstLineChars="200"/>
        <w:jc w:val="both"/>
        <w:rPr>
          <w:rFonts w:hint="eastAsia" w:ascii="仿宋_GB2312" w:hAnsi="仿宋_GB2312" w:eastAsia="仿宋_GB2312" w:cs="仿宋_GB2312"/>
          <w:lang w:val="en-US"/>
        </w:rPr>
      </w:pPr>
      <w:r>
        <w:rPr>
          <w:rFonts w:hint="eastAsia" w:ascii="楷体" w:hAnsi="楷体" w:eastAsia="楷体" w:cs="楷体"/>
          <w:lang w:val="en-US"/>
        </w:rPr>
        <w:t>（四）坚持阶段培训与长期培养相结合。</w:t>
      </w:r>
      <w:r>
        <w:rPr>
          <w:rFonts w:hint="eastAsia" w:ascii="仿宋_GB2312" w:hAnsi="仿宋_GB2312" w:eastAsia="仿宋_GB2312" w:cs="仿宋_GB2312"/>
          <w:lang w:val="en-US"/>
        </w:rPr>
        <w:t>把理想信念教育放在首位，坚持用马克思主义科学理论武装青年头脑，引导学员树立共产主义远大理想和中国特色社会主义共同理想。突出青年马克思主义培养工作的连续性，既针对各类优秀青年的不同特点进行阶段性培训，同时又坚持贯穿始终，从选拔、培养、使用、举荐等各个环节对他们进行培养。</w:t>
      </w:r>
    </w:p>
    <w:p w14:paraId="1836252F">
      <w:pPr>
        <w:pStyle w:val="3"/>
        <w:spacing w:line="580" w:lineRule="exact"/>
        <w:ind w:left="0" w:firstLine="640" w:firstLineChars="200"/>
        <w:jc w:val="both"/>
        <w:rPr>
          <w:rFonts w:hint="eastAsia" w:ascii="黑体" w:hAnsi="黑体" w:eastAsia="黑体" w:cs="黑体"/>
        </w:rPr>
      </w:pPr>
      <w:r>
        <w:rPr>
          <w:rFonts w:hint="eastAsia" w:ascii="黑体" w:hAnsi="黑体" w:eastAsia="黑体" w:cs="黑体"/>
        </w:rPr>
        <w:t>五、培养内容</w:t>
      </w:r>
    </w:p>
    <w:p w14:paraId="36A914A9">
      <w:pPr>
        <w:pStyle w:val="3"/>
        <w:spacing w:line="580" w:lineRule="exact"/>
        <w:ind w:lef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吉首大学“青马工程”培训内容主要包含习近平新时代中国特色社会主义思想，党的二十</w:t>
      </w:r>
      <w:r>
        <w:rPr>
          <w:rFonts w:hint="eastAsia" w:ascii="仿宋_GB2312" w:hAnsi="仿宋_GB2312" w:eastAsia="仿宋_GB2312" w:cs="仿宋_GB2312"/>
          <w:lang w:val="en-US" w:eastAsia="zh-CN"/>
        </w:rPr>
        <w:t>届三中全会</w:t>
      </w:r>
      <w:r>
        <w:rPr>
          <w:rFonts w:hint="eastAsia" w:ascii="仿宋_GB2312" w:hAnsi="仿宋_GB2312" w:eastAsia="仿宋_GB2312" w:cs="仿宋_GB2312"/>
          <w:lang w:val="en-US"/>
        </w:rPr>
        <w:t>精神，党史、新中国史，社会主义发展史，改革开放史，中华民族发展史，共青团的光辉历程与使命，培育和践行社会主义核心价值观，中华民族的伟大复兴，《中国共产党章程》，民族团结教育和马克思主义的基本理论，上级学联要求学习的相关精神等主题。各学院也可结合学院专业人才培养目标和团学特色工作等实际情况，在“青马工程”中适当增加特色主题纳入培训内容。</w:t>
      </w:r>
    </w:p>
    <w:p w14:paraId="2445D9C1">
      <w:pPr>
        <w:pStyle w:val="3"/>
        <w:spacing w:line="580" w:lineRule="exact"/>
        <w:ind w:left="0" w:firstLine="640" w:firstLineChars="200"/>
        <w:jc w:val="both"/>
        <w:rPr>
          <w:rFonts w:hint="eastAsia" w:ascii="黑体" w:hAnsi="黑体" w:eastAsia="黑体" w:cs="黑体"/>
        </w:rPr>
      </w:pPr>
      <w:r>
        <w:rPr>
          <w:rFonts w:hint="eastAsia" w:ascii="黑体" w:hAnsi="黑体" w:eastAsia="黑体" w:cs="黑体"/>
        </w:rPr>
        <w:t>六、培训方式</w:t>
      </w:r>
    </w:p>
    <w:p w14:paraId="1A78C2BC">
      <w:pPr>
        <w:pStyle w:val="3"/>
        <w:spacing w:line="580" w:lineRule="exact"/>
        <w:ind w:lef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吉首大学“青马工程”每一期集中培养周期原则上为1年，主要采取理论学习、红色教育、实践锻炼、素质拓展等方式，具体如下：</w:t>
      </w:r>
    </w:p>
    <w:p w14:paraId="2541595A">
      <w:pPr>
        <w:pStyle w:val="3"/>
        <w:spacing w:line="580" w:lineRule="exact"/>
        <w:ind w:lef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理论学习不少于40次，80学时。各级团校邀请党政领导、专家学者就党的创新理论、重大政策以及社会热点进行线上或线下专题辅导。</w:t>
      </w:r>
    </w:p>
    <w:p w14:paraId="1B533485">
      <w:pPr>
        <w:pStyle w:val="3"/>
        <w:spacing w:line="580" w:lineRule="exact"/>
        <w:ind w:lef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红色教育不少于4次。组织学员赴革命传统教育基地、爱国主义教育基地、革命遗址等实地学习，参加祭奠革命先烈、重温入党誓词等仪式教育，寻访历史见证人，观看优秀典型事迹的影像资料、专题展览，邀请先进典型作事迹报告等。</w:t>
      </w:r>
    </w:p>
    <w:p w14:paraId="71EC96DE">
      <w:pPr>
        <w:pStyle w:val="3"/>
        <w:spacing w:line="580" w:lineRule="exact"/>
        <w:ind w:lef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实践锻炼，3-5天。组织学员深入农村、社区、企业等开展形式多样、内容丰富的生产劳动、社会调查、跟岗见习、志愿服务等内容，引导学员在网络上主动发声亮剑，同各种错误观点和思潮作斗争，在面对重大事件和各种急难险重任务时冲锋在前、经受考验。</w:t>
      </w:r>
    </w:p>
    <w:p w14:paraId="40CA2256">
      <w:pPr>
        <w:pStyle w:val="3"/>
        <w:spacing w:line="580" w:lineRule="exact"/>
        <w:ind w:left="0" w:firstLine="640" w:firstLineChars="200"/>
        <w:jc w:val="both"/>
        <w:rPr>
          <w:rFonts w:hint="eastAsia" w:ascii="黑体" w:hAnsi="黑体" w:eastAsia="黑体" w:cs="黑体"/>
        </w:rPr>
      </w:pPr>
      <w:r>
        <w:rPr>
          <w:rFonts w:hint="eastAsia" w:ascii="黑体" w:hAnsi="黑体" w:eastAsia="黑体" w:cs="黑体"/>
        </w:rPr>
        <w:t>七、培训组织</w:t>
      </w:r>
    </w:p>
    <w:p w14:paraId="1585DF83">
      <w:pPr>
        <w:pStyle w:val="3"/>
        <w:spacing w:line="580" w:lineRule="exact"/>
        <w:ind w:lef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吉首大学“青马工程”培养模式由湖南省大学生青年马克思主义者骨干（网络）培训、学校青年马克思主义者培养班和学院青年马克思主义者培养班三级组成。湖南省大学生青年马克思主义者骨干（网络）培训由团省委实施，校团委配合做好学员的遴选、组织及学习监督工作；学校青年马克思主义者培养班由校团委牵头实施，学院青年马克思主义者培养班由学院团委牵头实施。</w:t>
      </w:r>
    </w:p>
    <w:p w14:paraId="7CEC56AB">
      <w:pPr>
        <w:pStyle w:val="3"/>
        <w:spacing w:line="580" w:lineRule="exact"/>
        <w:ind w:lef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学院举行青年马克思主义者培养班前需制定详细的“青马工程”实施计划，实施计划应包含培训时间、地点、授课内容、培训要求、培训名单等具体信息（授课教师从“青马工程”讲师团中安排），并于培训前7-10天报校团委审核，审核通过后方可开展。每期培训结束时须对本期培训工作进行全面总结，并将总结材料（学员培养情况登记表、学员学习心得、培训照片、培训总结等）和培训人员名单及合格人员名单报校团委审验，审验通过后校团委统一发放培训结业证书。为确保培训质量，各学院每期培训班人数不得超过学院学生总人数的10%，每期淘汰率不低于学员人数的10%。</w:t>
      </w:r>
    </w:p>
    <w:p w14:paraId="1EA23BA7">
      <w:pPr>
        <w:pStyle w:val="3"/>
        <w:spacing w:line="580" w:lineRule="exact"/>
        <w:ind w:left="0" w:firstLine="64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各实施单位应建立健全“青马工程”培养资料档案、培养对象档案、培训结果档案，建立健全考核评价机制，设定量化指标。强化培训结果应用，将吉首大学青年马克思主义者培养工程的最终成绩纳入到学生推优入党的重要衡量指标，团组织向党组织推荐的优秀青年必须是“青马工程”培训合格学员。</w:t>
      </w:r>
    </w:p>
    <w:p w14:paraId="5F6156D8">
      <w:pPr>
        <w:pStyle w:val="3"/>
        <w:spacing w:line="580" w:lineRule="exact"/>
        <w:ind w:left="0" w:firstLine="640" w:firstLineChars="200"/>
        <w:jc w:val="both"/>
        <w:rPr>
          <w:rFonts w:hint="eastAsia" w:ascii="黑体" w:hAnsi="黑体" w:eastAsia="黑体" w:cs="黑体"/>
        </w:rPr>
      </w:pPr>
      <w:r>
        <w:rPr>
          <w:rFonts w:hint="eastAsia" w:ascii="黑体" w:hAnsi="黑体" w:eastAsia="黑体" w:cs="黑体"/>
        </w:rPr>
        <w:t>八、培训保障</w:t>
      </w:r>
    </w:p>
    <w:p w14:paraId="6C820176">
      <w:pPr>
        <w:pStyle w:val="3"/>
        <w:spacing w:line="580" w:lineRule="exact"/>
        <w:ind w:left="0" w:firstLine="640" w:firstLineChars="200"/>
        <w:jc w:val="both"/>
        <w:rPr>
          <w:rFonts w:hint="eastAsia" w:ascii="仿宋_GB2312" w:hAnsi="仿宋_GB2312" w:eastAsia="仿宋_GB2312" w:cs="仿宋_GB2312"/>
          <w:lang w:val="en-US"/>
        </w:rPr>
      </w:pPr>
      <w:r>
        <w:rPr>
          <w:rFonts w:hint="eastAsia" w:ascii="楷体" w:hAnsi="楷体" w:eastAsia="楷体" w:cs="楷体"/>
          <w:lang w:val="en-US"/>
        </w:rPr>
        <w:t>（一）师资保障。</w:t>
      </w:r>
      <w:r>
        <w:rPr>
          <w:rFonts w:hint="eastAsia" w:ascii="仿宋_GB2312" w:hAnsi="仿宋_GB2312" w:eastAsia="仿宋_GB2312" w:cs="仿宋_GB2312"/>
          <w:lang w:val="en-US"/>
        </w:rPr>
        <w:t>校团委牵头组建一支由党政领导、专家学者、关工委退休教师、专职团干为主体的相对稳定的师资队伍，并通过官方正规渠道搭建线上授课、考核渠道，着力建设吉首大学“青马工程”精品课程，保障教学质量。</w:t>
      </w:r>
    </w:p>
    <w:p w14:paraId="6B0F1B36">
      <w:pPr>
        <w:pStyle w:val="3"/>
        <w:spacing w:line="580" w:lineRule="exact"/>
        <w:ind w:left="0" w:firstLine="640" w:firstLineChars="200"/>
        <w:jc w:val="both"/>
        <w:rPr>
          <w:rFonts w:hint="eastAsia" w:ascii="仿宋_GB2312" w:hAnsi="仿宋_GB2312" w:eastAsia="仿宋_GB2312" w:cs="仿宋_GB2312"/>
          <w:spacing w:val="6"/>
          <w:lang w:val="en-US"/>
        </w:rPr>
      </w:pPr>
      <w:r>
        <w:rPr>
          <w:rFonts w:hint="eastAsia" w:ascii="楷体" w:hAnsi="楷体" w:eastAsia="楷体" w:cs="楷体"/>
          <w:lang w:val="en-US"/>
        </w:rPr>
        <w:t>（二）经费保障。</w:t>
      </w:r>
      <w:r>
        <w:rPr>
          <w:rFonts w:hint="eastAsia" w:ascii="仿宋_GB2312" w:hAnsi="仿宋_GB2312" w:eastAsia="仿宋_GB2312" w:cs="仿宋_GB2312"/>
          <w:spacing w:val="6"/>
          <w:lang w:val="en-US"/>
        </w:rPr>
        <w:t>将“青马工程”列入各学院学生思想政治教育重点实施项目，从学生活动经费中优先给予经费保障。校团委积极争取配套支持和挖掘社会资源，为培养工程的实施提供必要的经费支持。</w:t>
      </w:r>
    </w:p>
    <w:p w14:paraId="2380B50A">
      <w:pPr>
        <w:pStyle w:val="3"/>
        <w:spacing w:line="580" w:lineRule="exact"/>
        <w:ind w:left="0" w:firstLine="640" w:firstLineChars="200"/>
        <w:jc w:val="both"/>
        <w:rPr>
          <w:rFonts w:hint="eastAsia" w:ascii="黑体" w:hAnsi="黑体" w:eastAsia="黑体" w:cs="黑体"/>
        </w:rPr>
      </w:pPr>
      <w:r>
        <w:rPr>
          <w:rFonts w:hint="eastAsia" w:ascii="黑体" w:hAnsi="黑体" w:eastAsia="黑体" w:cs="黑体"/>
        </w:rPr>
        <w:t>九、工作要求</w:t>
      </w:r>
    </w:p>
    <w:p w14:paraId="4B65DAA1">
      <w:pPr>
        <w:pStyle w:val="3"/>
        <w:spacing w:line="580" w:lineRule="exact"/>
        <w:ind w:left="0" w:firstLine="640" w:firstLineChars="200"/>
        <w:jc w:val="both"/>
        <w:rPr>
          <w:rFonts w:hint="eastAsia" w:ascii="仿宋_GB2312" w:hAnsi="仿宋_GB2312" w:eastAsia="仿宋_GB2312" w:cs="仿宋_GB2312"/>
          <w:lang w:val="en-US"/>
        </w:rPr>
      </w:pPr>
      <w:r>
        <w:rPr>
          <w:rFonts w:hint="eastAsia" w:ascii="楷体" w:hAnsi="楷体" w:eastAsia="楷体" w:cs="楷体"/>
          <w:lang w:val="en-US"/>
        </w:rPr>
        <w:t>（一）高度重视，精心组织。</w:t>
      </w:r>
      <w:r>
        <w:rPr>
          <w:rFonts w:hint="eastAsia" w:ascii="仿宋_GB2312" w:hAnsi="仿宋_GB2312" w:eastAsia="仿宋_GB2312" w:cs="仿宋_GB2312"/>
          <w:lang w:val="en-US"/>
        </w:rPr>
        <w:t>各级团组织要提高认识、加强领导，主动争取本学院党政领导和相关部门的支持，广泛发动团员青年参与到“青马工程”中来，在广大青年中着力培养造就一大批用马克思主义中国化的最新成果武装的马克思主义者。</w:t>
      </w:r>
    </w:p>
    <w:p w14:paraId="48885634">
      <w:pPr>
        <w:pStyle w:val="3"/>
        <w:spacing w:line="580" w:lineRule="exact"/>
        <w:ind w:left="0" w:firstLine="640" w:firstLineChars="200"/>
        <w:jc w:val="both"/>
        <w:rPr>
          <w:rFonts w:hint="eastAsia" w:ascii="仿宋_GB2312" w:hAnsi="仿宋_GB2312" w:eastAsia="仿宋_GB2312" w:cs="仿宋_GB2312"/>
          <w:lang w:val="en-US"/>
        </w:rPr>
      </w:pPr>
      <w:r>
        <w:rPr>
          <w:rFonts w:hint="eastAsia" w:ascii="楷体" w:hAnsi="楷体" w:eastAsia="楷体" w:cs="楷体"/>
          <w:lang w:val="en-US"/>
        </w:rPr>
        <w:t>（二）发挥优势，突出重点。</w:t>
      </w:r>
      <w:r>
        <w:rPr>
          <w:rFonts w:hint="eastAsia" w:ascii="仿宋_GB2312" w:hAnsi="仿宋_GB2312" w:eastAsia="仿宋_GB2312" w:cs="仿宋_GB2312"/>
          <w:lang w:val="en-US"/>
        </w:rPr>
        <w:t>各级团组织要围绕“青马工程”的目标和任务，从本单位的实际出发选准着力点，狠抓落实，务求实效。</w:t>
      </w:r>
    </w:p>
    <w:p w14:paraId="5FCDD07B">
      <w:r>
        <w:rPr>
          <w:rFonts w:hint="eastAsia" w:ascii="楷体" w:hAnsi="楷体" w:eastAsia="楷体" w:cs="楷体"/>
          <w:lang w:val="en-US"/>
        </w:rPr>
        <w:t>（三）广泛宣传，扩大影响。</w:t>
      </w:r>
      <w:r>
        <w:rPr>
          <w:rFonts w:hint="eastAsia" w:ascii="仿宋_GB2312" w:hAnsi="仿宋_GB2312" w:eastAsia="仿宋_GB2312" w:cs="仿宋_GB2312"/>
          <w:lang w:val="en-US"/>
        </w:rPr>
        <w:t>要广泛整合新闻媒介资源，提升培养内容的实效性和针对性，扩展“青马工程”内涵，增强“青马工程” 的辐射力，加强宣传推广工作。</w:t>
      </w: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EAB55B-F58E-447A-A164-E52891457E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0D6B46E-7EAD-4AAF-AEBA-18F533970823}"/>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71958AF0-6389-4DAB-BF5F-BBAF76CC7954}"/>
  </w:font>
  <w:font w:name="仿宋_GB2312">
    <w:altName w:val="仿宋"/>
    <w:panose1 w:val="02010609030101010101"/>
    <w:charset w:val="86"/>
    <w:family w:val="modern"/>
    <w:pitch w:val="default"/>
    <w:sig w:usb0="00000000" w:usb1="00000000" w:usb2="00000000" w:usb3="00000000" w:csb0="00040000" w:csb1="00000000"/>
    <w:embedRegular r:id="rId4" w:fontKey="{C3EE3CB0-FA82-47E9-9109-FB79F19D3D5C}"/>
  </w:font>
  <w:font w:name="楷体">
    <w:panose1 w:val="02010609060101010101"/>
    <w:charset w:val="86"/>
    <w:family w:val="modern"/>
    <w:pitch w:val="default"/>
    <w:sig w:usb0="800002BF" w:usb1="38CF7CFA" w:usb2="00000016" w:usb3="00000000" w:csb0="00040001" w:csb1="00000000"/>
    <w:embedRegular r:id="rId5" w:fontKey="{8E9831EC-385A-491D-A837-8BA819E86BFA}"/>
  </w:font>
  <w:font w:name="Wingdings 2">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C9CB4">
    <w:pPr>
      <w:pStyle w:val="3"/>
      <w:spacing w:line="14" w:lineRule="auto"/>
      <w:ind w:left="0"/>
      <w:rPr>
        <w:rFonts w:hint="eastAsia"/>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FE120B"/>
    <w:rsid w:val="133E75E1"/>
    <w:rsid w:val="1B717AC5"/>
    <w:rsid w:val="1FFE120B"/>
    <w:rsid w:val="24AF4B7D"/>
    <w:rsid w:val="2E971F10"/>
    <w:rsid w:val="303B19BB"/>
    <w:rsid w:val="30531D61"/>
    <w:rsid w:val="34BD49ED"/>
    <w:rsid w:val="435766B4"/>
    <w:rsid w:val="4C6704E6"/>
    <w:rsid w:val="534F5D39"/>
    <w:rsid w:val="577478FE"/>
    <w:rsid w:val="6AE75101"/>
    <w:rsid w:val="79032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ind w:left="100"/>
      <w:outlineLvl w:val="0"/>
    </w:pPr>
    <w:rPr>
      <w:b/>
      <w:bCs/>
      <w:sz w:val="32"/>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527" w:firstLine="640"/>
    </w:pPr>
    <w:rPr>
      <w:rFonts w:ascii="宋体" w:hAnsi="宋体" w:eastAsia="宋体" w:cs="宋体"/>
      <w:sz w:val="32"/>
      <w:szCs w:val="3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1"/>
    <w:pPr>
      <w:ind w:left="527" w:firstLine="640"/>
    </w:pPr>
    <w:rPr>
      <w:rFonts w:ascii="宋体" w:hAnsi="宋体" w:eastAsia="宋体" w:cs="宋体"/>
      <w:lang w:val="en-US" w:eastAsia="zh-CN" w:bidi="ar-SA"/>
    </w:rPr>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6983</Words>
  <Characters>7209</Characters>
  <Lines>0</Lines>
  <Paragraphs>0</Paragraphs>
  <TotalTime>0</TotalTime>
  <ScaleCrop>false</ScaleCrop>
  <LinksUpToDate>false</LinksUpToDate>
  <CharactersWithSpaces>7258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2025-11-04T01:02:00Z</dcterms:created>
  <dc:creator>彭裕祺妈妈</dc:creator>
  <cp:lastModifiedBy>小布丁</cp:lastModifiedBy>
  <dcterms:modified xsi:type="dcterms:W3CDTF">2026-06-04T13:10:46Z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77434C26DA4A45929D6F2ACB5917EC12_13</vt:lpwstr>
  </property>
  <property fmtid="{D5CDD505-2E9C-101B-9397-08002B2CF9AE}" pid="4" name="KSOTemplateDocerSaveRecord">
    <vt:lpwstr>eyJoZGlkIjoiMzEwNTM5NzYwMDRjMzkwZTVkZjY2ODkwMGIxNGU0OTUiLCJ1c2VySWQiOiI4MzEzMjIzNDcifQ==</vt:lpwstr>
  </property>
</Properties>
</file>