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613B">
      <w:pPr>
        <w:tabs>
          <w:tab w:val="left" w:pos="2800"/>
          <w:tab w:val="center" w:pos="4213"/>
        </w:tabs>
        <w:autoSpaceDE w:val="0"/>
        <w:spacing w:line="1160" w:lineRule="exact"/>
        <w:jc w:val="center"/>
        <w:rPr>
          <w:rFonts w:ascii="Times New Roman" w:hAnsi="Times New Roman" w:eastAsia="方正小标宋简体"/>
          <w:color w:val="EE0000"/>
          <w:w w:val="59"/>
          <w:position w:val="-6"/>
          <w:sz w:val="120"/>
          <w:szCs w:val="120"/>
        </w:rPr>
      </w:pPr>
      <w:r>
        <w:rPr>
          <w:rFonts w:hint="eastAsia" w:ascii="Times New Roman" w:hAnsi="Times New Roman" w:eastAsia="方正小标宋简体"/>
          <w:color w:val="EE0000"/>
          <w:w w:val="59"/>
          <w:position w:val="-6"/>
          <w:sz w:val="120"/>
          <w:szCs w:val="120"/>
        </w:rPr>
        <w:t>共青团吉首大学委员会文件</w:t>
      </w:r>
    </w:p>
    <w:p w14:paraId="1F80B376">
      <w:pPr>
        <w:tabs>
          <w:tab w:val="left" w:pos="2800"/>
          <w:tab w:val="center" w:pos="4213"/>
        </w:tabs>
        <w:autoSpaceDE w:val="0"/>
        <w:spacing w:line="576" w:lineRule="exact"/>
        <w:jc w:val="left"/>
        <w:rPr>
          <w:rFonts w:hint="eastAsia" w:ascii="仿宋_GB2312" w:hAnsi="方正小标宋_GBK" w:eastAsia="仿宋_GB2312"/>
        </w:rPr>
      </w:pPr>
    </w:p>
    <w:p w14:paraId="277165F9">
      <w:pPr>
        <w:tabs>
          <w:tab w:val="left" w:pos="2800"/>
          <w:tab w:val="center" w:pos="4213"/>
        </w:tabs>
        <w:autoSpaceDE w:val="0"/>
        <w:spacing w:line="576" w:lineRule="exact"/>
        <w:jc w:val="center"/>
        <w:rPr>
          <w:rFonts w:hint="eastAsia" w:ascii="Times New Roman" w:hAnsi="Times New Roman" w:eastAsia="仿宋_GB2312"/>
          <w:sz w:val="32"/>
        </w:rPr>
      </w:pPr>
      <w:r>
        <w:rPr>
          <w:rFonts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294640</wp:posOffset>
                </wp:positionV>
                <wp:extent cx="457200" cy="647700"/>
                <wp:effectExtent l="0" t="0" r="0" b="0"/>
                <wp:wrapNone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4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78DAB9A1">
                            <w:pPr>
                              <w:jc w:val="center"/>
                              <w:rPr>
                                <w:rFonts w:hint="eastAsia"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3.2pt;height:51pt;width:36pt;z-index:251661312;mso-width-relative:page;mso-height-relative:page;" filled="f" stroked="f" coordsize="21600,21600" o:gfxdata="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6CG&#10;QNgAAAAKAQAADwAAAAAAAAABACAAAAAiAAAAZHJzL2Rvd25yZXYueG1sUEsBAhQAFAAAAAgAh07i&#10;QCL7JArpAQAAyQMAAA4AAAAAAAAAAQAgAAAAJwEAAGRycy9lMm9Eb2MueG1sUEsFBgAAAAAGAAYA&#10;WQEAAII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78DAB9A1">
                      <w:pPr>
                        <w:jc w:val="center"/>
                        <w:rPr>
                          <w:rFonts w:hint="eastAsia"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2"/>
        </w:rPr>
        <w:t>校团〔202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</w:rPr>
        <w:t>〕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</w:rPr>
        <w:t>号</w:t>
      </w:r>
    </w:p>
    <w:p w14:paraId="4461CC76">
      <w:pPr>
        <w:tabs>
          <w:tab w:val="left" w:pos="2800"/>
          <w:tab w:val="center" w:pos="4213"/>
        </w:tabs>
        <w:autoSpaceDE w:val="0"/>
        <w:spacing w:line="227" w:lineRule="exact"/>
        <w:jc w:val="left"/>
        <w:rPr>
          <w:rFonts w:hint="eastAsia" w:ascii="仿宋_GB2312" w:hAnsi="方正小标宋_GBK" w:eastAsia="仿宋_GB2312"/>
        </w:rPr>
      </w:pPr>
      <w:r>
        <w:rPr>
          <w:rFonts w:hint="eastAsia" w:ascii="仿宋_GB2312" w:hAnsi="方正小标宋_GBK"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144145</wp:posOffset>
                </wp:positionV>
                <wp:extent cx="2393950" cy="0"/>
                <wp:effectExtent l="0" t="9525" r="6350" b="9525"/>
                <wp:wrapNone/>
                <wp:docPr id="200057802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top:11.35pt;height:0pt;width:188.5pt;mso-position-horizontal:right;z-index:251662336;mso-width-relative:page;mso-height-relative:page;" filled="f" stroked="t" coordsize="21600,21600" o:gfxdata="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SWgB9YAAAAGAQAADwAAAAAAAAABACAAAAAiAAAAZHJzL2Rvd25yZXYueG1sUEsBAhQAFAAAAAgA&#10;h07iQEEqFN3uAQAAuwMAAA4AAAAAAAAAAQAgAAAAJQEAAGRycy9lMm9Eb2MueG1sUEsFBgAAAAAG&#10;AAYAWQEAAIUFAAAAAA==&#10;">
                <v:fill on="f" focussize="0,0"/>
                <v:stroke weight="1.5pt" color="#EE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方正小标宋_GBK" w:eastAsia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144145</wp:posOffset>
                </wp:positionV>
                <wp:extent cx="2395855" cy="0"/>
                <wp:effectExtent l="0" t="9525" r="4445" b="9525"/>
                <wp:wrapNone/>
                <wp:docPr id="53434790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72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top:11.35pt;height:0pt;width:188.65pt;mso-position-horizontal:left;z-index:251660288;mso-width-relative:page;mso-height-relative:page;" filled="f" stroked="t" coordsize="21600,21600" o:gfxdata="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gg0tNYAAAAGAQAADwAAAAAAAAABACAAAAAiAAAAZHJzL2Rvd25yZXYueG1sUEsBAhQAFAAA&#10;AAgAh07iQGgBCmrxAQAAugMAAA4AAAAAAAAAAQAgAAAAJQEAAGRycy9lMm9Eb2MueG1sUEsFBgAA&#10;AAAGAAYAWQEAAIgFAAAAAA==&#10;">
                <v:fill on="f" focussize="0,0"/>
                <v:stroke weight="1.5pt" color="#EE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6ED9DE2">
      <w:pPr>
        <w:tabs>
          <w:tab w:val="left" w:pos="2800"/>
          <w:tab w:val="center" w:pos="4213"/>
        </w:tabs>
        <w:autoSpaceDE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4CEF133">
      <w:pPr>
        <w:tabs>
          <w:tab w:val="left" w:pos="2800"/>
          <w:tab w:val="center" w:pos="4213"/>
        </w:tabs>
        <w:autoSpaceDE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BC8A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关于组织开展吉首大学202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年大学生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寒假社会实践活动的通知</w:t>
      </w:r>
    </w:p>
    <w:p w14:paraId="274EF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</w:p>
    <w:p w14:paraId="2B5E9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各学院团委：</w:t>
      </w:r>
    </w:p>
    <w:p w14:paraId="20B24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深入学习领会党的二十大和二十届历次全会精神，践行习近平总书记关于青年工作的重要思想与教育重要论述，扎实推进实践育人工作，搭建“思政小课堂”与“社会大课堂”深度融合的实践平台，引导青年学子在躬身实践中坚定理想信念、锤炼过硬本领、践行青春担当，结合我校工作实际，经研究，决定组织开展吉首大学2026年大学生寒假社会实践活动，现将有关事项通知如下：</w:t>
      </w:r>
    </w:p>
    <w:p w14:paraId="22B1F32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outlineLvl w:val="1"/>
        <w:rPr>
          <w:rFonts w:hint="eastAsia" w:ascii="Times New Roman" w:hAnsi="Times New Roman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lang w:val="en-US" w:eastAsia="zh-CN"/>
        </w:rPr>
        <w:t>组织形式</w:t>
      </w:r>
    </w:p>
    <w:p w14:paraId="12CB3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本次寒假社会实践采用“青春为中国式现代化挺膺担当”统一主题，鼓励同学们运用所学专业知识，秉持就近就便原则，采取线上线下相结合的方式灵活开展实践活动。</w:t>
      </w:r>
    </w:p>
    <w:p w14:paraId="26467AD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64" w:firstLineChars="200"/>
        <w:textAlignment w:val="auto"/>
        <w:outlineLvl w:val="1"/>
        <w:rPr>
          <w:rFonts w:hint="eastAsia" w:ascii="Times New Roman" w:hAnsi="Times New Roman" w:eastAsia="黑体" w:cs="黑体"/>
          <w:spacing w:val="6"/>
          <w:sz w:val="32"/>
          <w:szCs w:val="32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</w:rPr>
        <w:t>活动内容</w:t>
      </w:r>
    </w:p>
    <w:p w14:paraId="59BFCE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一）红色基因传承。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弘扬伟大建党精神、推进党史学习教育常态化长效化目标，组织学生依托家乡红色资源，走访革命纪念场所、寻访革命先辈及家属，整理口述史资料。同时开展红色宣讲、主题文创设计、短视频制作等活动，形成心得体会、调研报告、融媒体作品等成果，让红色基因融入血脉，引导学生争做红色文化的传承者与弘扬者。</w:t>
      </w:r>
    </w:p>
    <w:p w14:paraId="0D1C4C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（二）“返家乡”社会实践。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深入学习领会党的二十大和二十届历次全会精神，在实践中深学细悟习近平新时代中国特色社会主义思想，感受中国式现代化的万千气象。引领大学生返回家乡参与实践服务家乡建设发展，在科技创新、乡村振兴、绿色发展、社会服务、卫国戍边等各领域各方面工作中争当排头兵和生力军，受教育、长才干、作贡献。</w:t>
      </w:r>
    </w:p>
    <w:p w14:paraId="2AE21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1.开展岗位实践锻炼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开展政务实践，组织学生进入党政机关、群团组织、乡镇街道等单位参与政务实践，承担基础事务、开展民情调研，在具体工作中理解国家治理与基层运行逻辑。开展企业实践，匹配学生专业与企业实际需求，组织学生深度参与企业日常生产与运营管理。开展兼职锻炼，组织学生到乡镇街道、村（社区）等基层团组织兼任团干部、参与实岗锻炼。</w:t>
      </w:r>
    </w:p>
    <w:p w14:paraId="63C24A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left"/>
        <w:textAlignment w:val="auto"/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2.组织乡情民情观察。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开展家乡发展观察，组织学生深入开发园区、农业科技园区、特色产业基地等，了解家乡产业布局和发展规划，感悟家乡发展变化。了解国情社情民情，组织学生深入街道社区、田间地头、村屯农家，密切联系群众，加深对家乡的真挚情感。倡导文化宣传交流，组织学生运用网络新媒体，宣传家乡文化，推广家乡物产，讲好家乡生动故事。</w:t>
      </w:r>
    </w:p>
    <w:p w14:paraId="7D058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3.助力家乡建设发展。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服务家乡基层治理，组织学生立足所学专业，聚焦社会治理、发展规划、艺术设计、文化传承等家乡事业发展开展调研、建言献策。助力乡村全面振兴，组织学生开展直播助农、政策宣讲、生态保护、文明倡导等，助力宜居宜业和美乡村建设。开展志愿公益服务，参与“一起云支教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，组织学生在村、社区活动中心等场所，开展科学普及、扶弱助残、课业辅导等服务工作，用心用情解决群众急难愁盼。</w:t>
      </w:r>
    </w:p>
    <w:p w14:paraId="4E9B7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（三）生涯人物访谈。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紧扣职业发展规划需求，组织学生结合专业与职业目标，访谈校友、行业精英、基层工作者等榜样人物。围绕职业选择初心、成长历程、岗位能力要求、行业趋势、求职建议等核心问题开展深度交流，做好访谈记录，撰写分析报告，制定个人职业规划书，明晰职业发展路径，提前储备岗位所需能力。</w:t>
      </w:r>
    </w:p>
    <w:p w14:paraId="3BECF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（四）美育实践。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依托学校美育行动计划，整合艺术、教育、心理、数字媒体等多学科专业优势，打破地域、群体限制，面向社区、乡村、校园等场景及全年龄段人群开展分层分类美育实践。面向青少年开设音乐启蒙、创意美术、硬笔书法、自然手工等趣味课程，配套亲子艺术共创工坊；面向中青年群体推出非遗手作体验、舞蹈基础、短视频美学创作等项目；面向老年群体开展国画临摹、经典合唱、书法养生等适配活动，同时兼顾残障群体、留守儿童等特殊对象的美育需求，提供定制化服务。深度融合湘西本地非遗项目与传统节日，开展苗绣技艺传承、土家摆手舞展演、蜡染文创制作等特色实践，创新“艺术宣讲+文艺展演”模式，将心理健康科普、红色文化元素融入美育过程。活动中系统梳理教案、案例、教学视频等成果，形成可复用、可推广的全年龄段美育课程资源包，搭建校地共建、城乡联动的长效美育实践平台，推动优质美育资源辐射更广范围。</w:t>
      </w:r>
    </w:p>
    <w:p w14:paraId="603C9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（五）“挑战杯”项目孵化。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“挑战杯”竞赛为导向，聚焦乡村振兴、生态保护、社会治理、科技创新等领域，组织学生开展学术调研或创业项目策划。学术类项目需完成文献研究、实地走访与数据分析，撰写高质量调研报告；创业类项目需开展市场调研、设计商业模式、开发产品原型，完善创业计划书，为竞赛储备优质项目。</w:t>
      </w:r>
    </w:p>
    <w:p w14:paraId="4B7C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line="576" w:lineRule="exact"/>
        <w:ind w:left="673"/>
        <w:textAlignment w:val="auto"/>
        <w:outlineLvl w:val="1"/>
        <w:rPr>
          <w:rFonts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ascii="Times New Roman" w:hAnsi="Times New Roman" w:eastAsia="黑体" w:cs="黑体"/>
          <w:b w:val="0"/>
          <w:bCs w:val="0"/>
          <w:spacing w:val="6"/>
          <w:sz w:val="32"/>
          <w:szCs w:val="32"/>
        </w:rPr>
        <w:t>三、活动要求</w:t>
      </w:r>
    </w:p>
    <w:p w14:paraId="72EF1AF7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务实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  <w:lang w:val="en-US" w:eastAsia="zh-CN"/>
        </w:rPr>
        <w:t>实效，安全首位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学院要建立社会实践安全机制，开展涵盖交通、消防、防诈骗、应急处置等内容的安全教育；实践过程中力戒形式主义，杜绝“走过场”式实践，引导学生深入基层、深入实际，注重实践体验与思考感悟，确保实践活动取得实实在在的效果。</w:t>
      </w:r>
    </w:p>
    <w:p w14:paraId="5987E74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高度重视，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  <w:lang w:val="en-US" w:eastAsia="zh-CN"/>
        </w:rPr>
        <w:t>用心组织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各学院要高度重视、广泛动员，引导学生关注“创青春”微信公众号及家乡所在地团组织平台，在“服务平台 ”—“返家乡 ”栏目入口登录“返家乡社会实践岗位对接系统 ”，按分类、区域搜索岗位信息，选择合适的岗位，填报并提交报名信息。</w:t>
      </w:r>
    </w:p>
    <w:p w14:paraId="42E7F9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全面宣传，扩大影响。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在开展活动期间，鼓励大学生利用自媒体平台记录并发布带有#吉首大学#、#吉首大学寒假社会实践#话题的实践日常，展现美丽家乡，讲好家乡故事。及时与校院团委、指导教师、朋辈同学等分享交流，进一步影响和带动身边同学积极投身寒假社会实践活动，学生参与情况将作为个人评优的重要依据。同时，学院要充分利用新闻媒体、公众号、短视频平台等多种渠道，生动展示学生实践成果、讲述实践故事，打造学校社会实践活动品牌特色，推动社会实践育人成效持续深化。</w:t>
      </w:r>
    </w:p>
    <w:p w14:paraId="73DAF3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91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b/>
          <w:bCs/>
          <w:spacing w:val="12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楷体" w:cs="楷体"/>
          <w:b/>
          <w:bCs/>
          <w:spacing w:val="12"/>
          <w:kern w:val="2"/>
          <w:sz w:val="32"/>
          <w:szCs w:val="32"/>
          <w:lang w:val="en-US" w:eastAsia="en-US" w:bidi="ar-SA"/>
        </w:rPr>
        <w:t>表彰模范，</w:t>
      </w:r>
      <w:r>
        <w:rPr>
          <w:rFonts w:hint="eastAsia" w:ascii="Times New Roman" w:hAnsi="Times New Roman" w:eastAsia="楷体" w:cs="楷体"/>
          <w:b/>
          <w:bCs/>
          <w:spacing w:val="12"/>
          <w:kern w:val="2"/>
          <w:sz w:val="32"/>
          <w:szCs w:val="32"/>
          <w:lang w:val="en-US" w:eastAsia="zh-CN" w:bidi="ar-SA"/>
        </w:rPr>
        <w:t>材料报送</w:t>
      </w:r>
      <w:r>
        <w:rPr>
          <w:rFonts w:hint="eastAsia" w:ascii="Times New Roman" w:hAnsi="Times New Roman" w:eastAsia="楷体" w:cs="楷体"/>
          <w:b/>
          <w:bCs/>
          <w:spacing w:val="12"/>
          <w:kern w:val="2"/>
          <w:sz w:val="32"/>
          <w:szCs w:val="32"/>
          <w:lang w:val="en-US" w:eastAsia="en-US" w:bidi="ar-SA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次寒假社会实践活动纳入“第二课堂”积分认定范围。学生完成实践后，需填写附件《吉首大学学生假期社会实践活动登记表》，经实践地相关负责人签字、盖章后，上交至学院团委存档备案。下学期开学后，各学院要统筹做好社会实践总结工作，全面收集学生实践登记表等佐证材料，及时梳理汇总活动基本情况、先进典型事迹及宣传报道素材。各学院团委需结合本院学生实践成效，按学生总数1%的比例开展评优推荐工作，并于2026年3月10日前，将本院2026年大学生寒假社会实践活动总结材料（含学院团委实践工作总结、评优汇总名单、优秀个人申报材料）电子版报送至邮箱jsdxtw@126.com，校团委将组织统一表彰。联系人：马欣蓉，联系方式：18093839198。</w:t>
      </w:r>
    </w:p>
    <w:p w14:paraId="10F0B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D986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68" w:firstLineChars="200"/>
        <w:textAlignment w:val="auto"/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>附件：吉首大学学生假期社会实践活动登记表</w:t>
      </w:r>
    </w:p>
    <w:p w14:paraId="4EF6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textAlignment w:val="auto"/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</w:pPr>
    </w:p>
    <w:p w14:paraId="69EB4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jc w:val="right"/>
        <w:textAlignment w:val="auto"/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 xml:space="preserve">                            共青团吉首大学委员会</w:t>
      </w:r>
    </w:p>
    <w:p w14:paraId="33FF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 xml:space="preserve">                             2026年1月</w:t>
      </w:r>
      <w:r>
        <w:rPr>
          <w:rFonts w:hint="eastAsia" w:ascii="Times New Roman" w:hAnsi="Times New Roman" w:eastAsia="仿宋_GB2312" w:cs="仿宋_GB2312"/>
          <w:color w:val="auto"/>
          <w:spacing w:val="7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>日</w:t>
      </w:r>
    </w:p>
    <w:p w14:paraId="69CB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仿宋_GB2312" w:eastAsia="仿宋_GB2312" w:cs="仿宋_GB2312"/>
          <w:spacing w:val="7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17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</w:t>
      </w:r>
    </w:p>
    <w:p w14:paraId="03F1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E5C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吉首大学学生假期社会实践活动登记表</w:t>
      </w:r>
    </w:p>
    <w:tbl>
      <w:tblPr>
        <w:tblStyle w:val="9"/>
        <w:tblpPr w:leftFromText="180" w:rightFromText="180" w:vertAnchor="text" w:horzAnchor="page" w:tblpXSpec="center" w:tblpY="2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60"/>
        <w:gridCol w:w="940"/>
        <w:gridCol w:w="1490"/>
        <w:gridCol w:w="920"/>
        <w:gridCol w:w="2057"/>
      </w:tblGrid>
      <w:tr w14:paraId="6BBE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08" w:type="dxa"/>
            <w:noWrap w:val="0"/>
            <w:vAlign w:val="center"/>
          </w:tcPr>
          <w:p w14:paraId="0F11C59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 w14:paraId="4569636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87BBE2D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 w14:paraId="27B9B13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848CB9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2057" w:type="dxa"/>
            <w:noWrap w:val="0"/>
            <w:vAlign w:val="center"/>
          </w:tcPr>
          <w:p w14:paraId="28D3311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30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08" w:type="dxa"/>
            <w:noWrap w:val="0"/>
            <w:vAlign w:val="center"/>
          </w:tcPr>
          <w:p w14:paraId="7EE1841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学院年级专业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2448712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80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08" w:type="dxa"/>
            <w:noWrap w:val="0"/>
            <w:vAlign w:val="center"/>
          </w:tcPr>
          <w:p w14:paraId="446E36A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实践地点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 w14:paraId="24C03BD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AFEEAB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实践天数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7843396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8F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08" w:type="dxa"/>
            <w:noWrap w:val="0"/>
            <w:vAlign w:val="center"/>
          </w:tcPr>
          <w:p w14:paraId="4F39D29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实践成果形式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2547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1A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8" w:type="dxa"/>
            <w:noWrap w:val="0"/>
            <w:vAlign w:val="center"/>
          </w:tcPr>
          <w:p w14:paraId="4BA1ED6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实践内容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328667E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DD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908" w:type="dxa"/>
            <w:noWrap w:val="0"/>
            <w:vAlign w:val="center"/>
          </w:tcPr>
          <w:p w14:paraId="3ADC714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实践单位</w:t>
            </w:r>
          </w:p>
          <w:p w14:paraId="4946815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5"/>
            <w:noWrap w:val="0"/>
            <w:vAlign w:val="top"/>
          </w:tcPr>
          <w:p w14:paraId="78D4C3A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6F958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59F6A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85380F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6D57FC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</w:t>
            </w:r>
          </w:p>
          <w:p w14:paraId="6590A4C1">
            <w:pPr>
              <w:snapToGrid w:val="0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 章：</w:t>
            </w:r>
          </w:p>
          <w:p w14:paraId="4462B85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2716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908" w:type="dxa"/>
            <w:noWrap w:val="0"/>
            <w:vAlign w:val="center"/>
          </w:tcPr>
          <w:p w14:paraId="41DB4BF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收获感想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089B19A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附页）</w:t>
            </w:r>
          </w:p>
        </w:tc>
      </w:tr>
      <w:tr w14:paraId="755D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908" w:type="dxa"/>
            <w:noWrap w:val="0"/>
            <w:vAlign w:val="center"/>
          </w:tcPr>
          <w:p w14:paraId="1039D50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团支部</w:t>
            </w:r>
          </w:p>
          <w:p w14:paraId="32BDBEE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评语</w:t>
            </w:r>
          </w:p>
        </w:tc>
        <w:tc>
          <w:tcPr>
            <w:tcW w:w="7367" w:type="dxa"/>
            <w:gridSpan w:val="5"/>
            <w:noWrap w:val="0"/>
            <w:vAlign w:val="top"/>
          </w:tcPr>
          <w:p w14:paraId="1CD32256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0684F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3524545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D41C3A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DBF9E9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F0F4C69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C12A43E"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5F8D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908" w:type="dxa"/>
            <w:noWrap w:val="0"/>
            <w:vAlign w:val="center"/>
          </w:tcPr>
          <w:p w14:paraId="005AD40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学院团委</w:t>
            </w:r>
          </w:p>
          <w:p w14:paraId="3FB31B6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5"/>
            <w:noWrap w:val="0"/>
            <w:vAlign w:val="top"/>
          </w:tcPr>
          <w:p w14:paraId="6B1C4566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2723D0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0CBB22F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B7A19EE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031B7C0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6B999E3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5BFCE5DF">
            <w:pPr>
              <w:snapToGrid w:val="0"/>
              <w:ind w:firstLine="5320" w:firstLineChars="19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1EE9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p w14:paraId="02EAB624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一审、一校：朱姗姗</w:t>
      </w:r>
    </w:p>
    <w:p w14:paraId="0C4EC551">
      <w:pPr>
        <w:pStyle w:val="2"/>
        <w:ind w:left="0" w:leftChars="0" w:firstLine="0" w:firstLineChars="0"/>
        <w:jc w:val="left"/>
        <w:rPr>
          <w:rFonts w:hint="default" w:ascii="黑体" w:hAnsi="黑体" w:eastAsia="黑体" w:cs="黑体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二审、二校：杨　川</w:t>
      </w:r>
    </w:p>
    <w:p w14:paraId="6E89811B"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黑体" w:hAnsi="黑体" w:eastAsia="黑体" w:cs="黑体"/>
          <w:sz w:val="18"/>
          <w:szCs w:val="18"/>
          <w:lang w:val="en-US" w:eastAsia="zh-CN"/>
        </w:rPr>
        <w:t>三审、三校：周　礼</w:t>
      </w:r>
      <w:bookmarkStart w:id="0" w:name="_GoBack"/>
      <w:bookmarkEnd w:id="0"/>
    </w:p>
    <w:sectPr>
      <w:pgSz w:w="11906" w:h="16838"/>
      <w:pgMar w:top="1440" w:right="1361" w:bottom="1440" w:left="1361" w:header="851" w:footer="992" w:gutter="0"/>
      <w:pgNumType w:fmt="decimal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25B03-7EDE-46E2-95D5-F637EE7B95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438FADD-3430-4B91-904E-16573013D6D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4356B9-8B2E-42BD-A8BA-328C2A2F71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A37FC5D-D462-4A5B-B7D5-3EFAEA11FF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8A1A42F-D38D-4DA3-A151-C1776BF3E5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DB9C14A-2A97-41A3-8184-0C46F4AB77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F1EF7">
    <w:pPr>
      <w:pStyle w:val="5"/>
      <w:spacing w:before="1"/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BD6FA">
                          <w:pPr>
                            <w:pStyle w:val="6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BD6FA">
                    <w:pPr>
                      <w:pStyle w:val="6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4DA8E"/>
    <w:multiLevelType w:val="singleLevel"/>
    <w:tmpl w:val="9F34DA8E"/>
    <w:lvl w:ilvl="0" w:tentative="0">
      <w:start w:val="1"/>
      <w:numFmt w:val="chineseCounting"/>
      <w:suff w:val="nothing"/>
      <w:lvlText w:val="%1、"/>
      <w:lvlJc w:val="left"/>
      <w:pPr>
        <w:ind w:left="-1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560A"/>
    <w:rsid w:val="04C063D7"/>
    <w:rsid w:val="065D641C"/>
    <w:rsid w:val="10EA4377"/>
    <w:rsid w:val="177C39CF"/>
    <w:rsid w:val="180D4BC6"/>
    <w:rsid w:val="21901B00"/>
    <w:rsid w:val="22446991"/>
    <w:rsid w:val="23305048"/>
    <w:rsid w:val="27252240"/>
    <w:rsid w:val="27CA7777"/>
    <w:rsid w:val="3431735D"/>
    <w:rsid w:val="36B41936"/>
    <w:rsid w:val="407C5B3B"/>
    <w:rsid w:val="43232201"/>
    <w:rsid w:val="4981120E"/>
    <w:rsid w:val="4CEC560A"/>
    <w:rsid w:val="53B60FD1"/>
    <w:rsid w:val="54F3796B"/>
    <w:rsid w:val="596E639B"/>
    <w:rsid w:val="5B7D5EC8"/>
    <w:rsid w:val="5C700ABB"/>
    <w:rsid w:val="62D35576"/>
    <w:rsid w:val="66595E77"/>
    <w:rsid w:val="666D2919"/>
    <w:rsid w:val="6C6F4E3C"/>
    <w:rsid w:val="7D8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next w:val="1"/>
    <w:unhideWhenUsed/>
    <w:qFormat/>
    <w:uiPriority w:val="9"/>
    <w:pPr>
      <w:keepNext/>
      <w:keepLines/>
      <w:spacing w:after="176" w:line="259" w:lineRule="auto"/>
      <w:ind w:left="651" w:hanging="10"/>
      <w:outlineLvl w:val="1"/>
    </w:pPr>
    <w:rPr>
      <w:rFonts w:ascii="黑体" w:hAnsi="黑体" w:eastAsia="黑体" w:cs="黑体"/>
      <w:color w:val="000000"/>
      <w:kern w:val="2"/>
      <w:sz w:val="32"/>
      <w:szCs w:val="24"/>
      <w:lang w:val="en-US" w:eastAsia="zh-CN" w:bidi="ar-SA"/>
      <w14:ligatures w14:val="standardContextual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2683</Words>
  <Characters>2730</Characters>
  <Lines>0</Lines>
  <Paragraphs>0</Paragraphs>
  <TotalTime>0</TotalTime>
  <ScaleCrop>false</ScaleCrop>
  <LinksUpToDate>false</LinksUpToDate>
  <CharactersWithSpaces>2881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2019-04-08T10:21:00Z</dcterms:created>
  <dc:creator>文钦</dc:creator>
  <cp:lastModifiedBy>Moon</cp:lastModifiedBy>
  <dcterms:modified xsi:type="dcterms:W3CDTF">2026-03-30T13:34:28Z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eyJoZGlkIjoiZjk3OWJhYjk4N2I2ZTNmMDM3ZmE1NjgxMjM0YWU1NTIiLCJ1c2VySWQiOiIxNjQ1NjIyNDA1In0=</vt:lpwstr>
  </property>
  <property fmtid="{D5CDD505-2E9C-101B-9397-08002B2CF9AE}" pid="4" name="ICV">
    <vt:lpwstr>4570F444713C4C6896D21B5ED8BF20F7_13</vt:lpwstr>
  </property>
</Properties>
</file>